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C7" w:rsidRPr="001A1122" w:rsidRDefault="003D25C7" w:rsidP="000C05A4">
      <w:pPr>
        <w:tabs>
          <w:tab w:val="left" w:pos="3150"/>
        </w:tabs>
        <w:jc w:val="center"/>
        <w:rPr>
          <w:b/>
          <w:sz w:val="22"/>
          <w:szCs w:val="22"/>
        </w:rPr>
      </w:pPr>
      <w:r w:rsidRPr="001A1122">
        <w:rPr>
          <w:b/>
          <w:sz w:val="22"/>
          <w:szCs w:val="22"/>
        </w:rPr>
        <w:t xml:space="preserve">Executive Summary of Progress Indicator Pilot Study </w:t>
      </w:r>
    </w:p>
    <w:p w:rsidR="003D25C7" w:rsidRPr="001A1122" w:rsidRDefault="003D25C7" w:rsidP="00CE270F">
      <w:pPr>
        <w:tabs>
          <w:tab w:val="left" w:pos="3150"/>
        </w:tabs>
        <w:rPr>
          <w:sz w:val="22"/>
          <w:szCs w:val="22"/>
        </w:rPr>
      </w:pPr>
      <w:r w:rsidRPr="001A1122">
        <w:rPr>
          <w:sz w:val="22"/>
          <w:szCs w:val="22"/>
        </w:rPr>
        <w:t xml:space="preserve">In order to determine the pros and cons of documenting and officially reporting success in noncredit coursework, a two year pilot study was conducted to examine the use of progress indicators and grades in noncredit. Three semesters of data from over 11 diverse institutions, provided a great foundation of experience and knowledge that has led the noncredit taskforce to support a Title 5 change in order to report noncredit success. This change was </w:t>
      </w:r>
      <w:r w:rsidR="000006F5" w:rsidRPr="001A1122">
        <w:rPr>
          <w:sz w:val="22"/>
          <w:szCs w:val="22"/>
        </w:rPr>
        <w:t xml:space="preserve">further </w:t>
      </w:r>
      <w:r w:rsidRPr="001A1122">
        <w:rPr>
          <w:sz w:val="22"/>
          <w:szCs w:val="22"/>
        </w:rPr>
        <w:t xml:space="preserve">supported in a survey of over 200 California noncredit practitioners. </w:t>
      </w:r>
    </w:p>
    <w:p w:rsidR="003D25C7" w:rsidRPr="001A1122" w:rsidRDefault="003D25C7" w:rsidP="001A1122">
      <w:pPr>
        <w:tabs>
          <w:tab w:val="left" w:pos="3150"/>
        </w:tabs>
        <w:ind w:left="-360"/>
        <w:rPr>
          <w:sz w:val="22"/>
          <w:szCs w:val="22"/>
        </w:rPr>
      </w:pPr>
    </w:p>
    <w:p w:rsidR="000006F5" w:rsidRPr="001A1122" w:rsidRDefault="000006F5" w:rsidP="004B72E0">
      <w:pPr>
        <w:tabs>
          <w:tab w:val="left" w:pos="3150"/>
        </w:tabs>
        <w:rPr>
          <w:sz w:val="22"/>
          <w:szCs w:val="22"/>
        </w:rPr>
      </w:pPr>
      <w:r w:rsidRPr="001A1122">
        <w:rPr>
          <w:sz w:val="22"/>
          <w:szCs w:val="22"/>
        </w:rPr>
        <w:t>Currently the Chancellor’s Office converts all noncredit grading as UG (ungraded) even though 80% of the surveyed noncredit institutions have traditionally assessed and recorded student progress. UG is considered an unacceptable indicator by the majority of noncredit practitioners. Title 5 neither requires nor prohibits grading or use of progress indicators for noncredit.</w:t>
      </w:r>
    </w:p>
    <w:p w:rsidR="003D25C7" w:rsidRPr="001A1122" w:rsidRDefault="003D25C7" w:rsidP="001A1122">
      <w:pPr>
        <w:tabs>
          <w:tab w:val="left" w:pos="0"/>
        </w:tabs>
        <w:spacing w:before="120"/>
        <w:ind w:left="90" w:hanging="90"/>
        <w:rPr>
          <w:sz w:val="22"/>
          <w:szCs w:val="22"/>
        </w:rPr>
      </w:pPr>
      <w:r w:rsidRPr="001A1122">
        <w:rPr>
          <w:sz w:val="22"/>
          <w:szCs w:val="22"/>
        </w:rPr>
        <w:t xml:space="preserve">Among taskforce members – </w:t>
      </w:r>
    </w:p>
    <w:p w:rsidR="003D25C7" w:rsidRPr="001A1122" w:rsidRDefault="003D25C7" w:rsidP="001A1122">
      <w:pPr>
        <w:pStyle w:val="ListParagraph"/>
        <w:numPr>
          <w:ilvl w:val="0"/>
          <w:numId w:val="10"/>
        </w:numPr>
        <w:tabs>
          <w:tab w:val="left" w:pos="0"/>
        </w:tabs>
        <w:rPr>
          <w:b/>
          <w:sz w:val="22"/>
          <w:szCs w:val="22"/>
        </w:rPr>
      </w:pPr>
      <w:r w:rsidRPr="001A1122">
        <w:rPr>
          <w:b/>
          <w:sz w:val="22"/>
          <w:szCs w:val="22"/>
        </w:rPr>
        <w:t xml:space="preserve">There was 100% agreement that progress indicators should be used, and </w:t>
      </w:r>
    </w:p>
    <w:p w:rsidR="003D25C7" w:rsidRPr="001A1122" w:rsidRDefault="003D25C7" w:rsidP="001A1122">
      <w:pPr>
        <w:tabs>
          <w:tab w:val="left" w:pos="0"/>
        </w:tabs>
        <w:ind w:left="90" w:hanging="90"/>
        <w:rPr>
          <w:sz w:val="22"/>
          <w:szCs w:val="22"/>
        </w:rPr>
      </w:pPr>
      <w:r w:rsidRPr="001A1122">
        <w:rPr>
          <w:b/>
          <w:sz w:val="22"/>
          <w:szCs w:val="22"/>
        </w:rPr>
        <w:t xml:space="preserve">    Title 5 should be changed to </w:t>
      </w:r>
      <w:r w:rsidR="000006F5" w:rsidRPr="001A1122">
        <w:rPr>
          <w:b/>
          <w:sz w:val="22"/>
          <w:szCs w:val="22"/>
        </w:rPr>
        <w:t>indicate specific noncredit progress indicators.</w:t>
      </w:r>
    </w:p>
    <w:p w:rsidR="003D25C7" w:rsidRPr="001A1122" w:rsidRDefault="003D25C7" w:rsidP="001A1122">
      <w:pPr>
        <w:pStyle w:val="ListParagraph"/>
        <w:numPr>
          <w:ilvl w:val="0"/>
          <w:numId w:val="10"/>
        </w:numPr>
        <w:tabs>
          <w:tab w:val="left" w:pos="0"/>
        </w:tabs>
        <w:spacing w:before="120"/>
        <w:rPr>
          <w:sz w:val="22"/>
          <w:szCs w:val="22"/>
        </w:rPr>
      </w:pPr>
      <w:r w:rsidRPr="001A1122">
        <w:rPr>
          <w:b/>
          <w:sz w:val="22"/>
          <w:szCs w:val="22"/>
        </w:rPr>
        <w:t xml:space="preserve">Survey results show clear and strong support for these progress indicators: </w:t>
      </w:r>
    </w:p>
    <w:p w:rsidR="003D25C7" w:rsidRPr="001A1122" w:rsidRDefault="003D25C7" w:rsidP="001A1122">
      <w:pPr>
        <w:tabs>
          <w:tab w:val="left" w:pos="3150"/>
        </w:tabs>
        <w:rPr>
          <w:sz w:val="22"/>
          <w:szCs w:val="22"/>
        </w:rPr>
      </w:pPr>
      <w:r w:rsidRPr="001A1122">
        <w:rPr>
          <w:b/>
          <w:sz w:val="22"/>
          <w:szCs w:val="22"/>
        </w:rPr>
        <w:t xml:space="preserve">     </w:t>
      </w:r>
      <w:proofErr w:type="gramStart"/>
      <w:r w:rsidRPr="001A1122">
        <w:rPr>
          <w:b/>
          <w:sz w:val="22"/>
          <w:szCs w:val="22"/>
        </w:rPr>
        <w:t>P, SP, and NP and their definitions</w:t>
      </w:r>
      <w:r w:rsidRPr="001A1122">
        <w:rPr>
          <w:sz w:val="22"/>
          <w:szCs w:val="22"/>
        </w:rPr>
        <w:t>.</w:t>
      </w:r>
      <w:proofErr w:type="gramEnd"/>
      <w:r w:rsidRPr="001A1122">
        <w:rPr>
          <w:sz w:val="22"/>
          <w:szCs w:val="22"/>
        </w:rPr>
        <w:t xml:space="preserve"> </w:t>
      </w:r>
    </w:p>
    <w:p w:rsidR="003D25C7" w:rsidRPr="001A1122" w:rsidRDefault="003D25C7" w:rsidP="001A1122">
      <w:pPr>
        <w:tabs>
          <w:tab w:val="left" w:pos="3150"/>
        </w:tabs>
        <w:spacing w:before="120"/>
        <w:rPr>
          <w:sz w:val="22"/>
          <w:szCs w:val="22"/>
        </w:rPr>
      </w:pPr>
      <w:r w:rsidRPr="001A1122">
        <w:rPr>
          <w:sz w:val="22"/>
          <w:szCs w:val="22"/>
        </w:rPr>
        <w:t xml:space="preserve">Among over 200 noncredit faculty surveyed – </w:t>
      </w:r>
    </w:p>
    <w:p w:rsidR="003D25C7" w:rsidRPr="001A1122" w:rsidRDefault="000006F5" w:rsidP="001A1122">
      <w:pPr>
        <w:pStyle w:val="ListParagraph"/>
        <w:tabs>
          <w:tab w:val="left" w:pos="3150"/>
        </w:tabs>
        <w:rPr>
          <w:sz w:val="22"/>
          <w:szCs w:val="22"/>
        </w:rPr>
      </w:pPr>
      <w:r w:rsidRPr="001A1122">
        <w:rPr>
          <w:sz w:val="22"/>
          <w:szCs w:val="22"/>
        </w:rPr>
        <w:t xml:space="preserve">1. </w:t>
      </w:r>
      <w:r w:rsidR="003D25C7" w:rsidRPr="001A1122">
        <w:rPr>
          <w:sz w:val="22"/>
          <w:szCs w:val="22"/>
        </w:rPr>
        <w:t>72.5% said they would support an ASCCC resolution to implement the use of progress indicators</w:t>
      </w:r>
    </w:p>
    <w:p w:rsidR="003D25C7" w:rsidRPr="001A1122" w:rsidRDefault="000006F5" w:rsidP="001A1122">
      <w:pPr>
        <w:pStyle w:val="ListParagraph"/>
        <w:tabs>
          <w:tab w:val="left" w:pos="3150"/>
        </w:tabs>
        <w:rPr>
          <w:sz w:val="22"/>
          <w:szCs w:val="22"/>
        </w:rPr>
      </w:pPr>
      <w:r w:rsidRPr="001A1122">
        <w:rPr>
          <w:sz w:val="22"/>
          <w:szCs w:val="22"/>
        </w:rPr>
        <w:t xml:space="preserve">2. </w:t>
      </w:r>
      <w:r w:rsidR="003D25C7" w:rsidRPr="001A1122">
        <w:rPr>
          <w:sz w:val="22"/>
          <w:szCs w:val="22"/>
        </w:rPr>
        <w:t xml:space="preserve">18.8% they would support it if certain caveats were included as stated below </w:t>
      </w:r>
    </w:p>
    <w:p w:rsidR="003D25C7" w:rsidRPr="001A1122" w:rsidRDefault="000006F5" w:rsidP="001A1122">
      <w:pPr>
        <w:pStyle w:val="ListParagraph"/>
        <w:tabs>
          <w:tab w:val="left" w:pos="3150"/>
        </w:tabs>
        <w:rPr>
          <w:sz w:val="22"/>
          <w:szCs w:val="22"/>
        </w:rPr>
      </w:pPr>
      <w:r w:rsidRPr="001A1122">
        <w:rPr>
          <w:sz w:val="22"/>
          <w:szCs w:val="22"/>
        </w:rPr>
        <w:t xml:space="preserve">3. </w:t>
      </w:r>
      <w:r w:rsidR="003D25C7" w:rsidRPr="001A1122">
        <w:rPr>
          <w:sz w:val="22"/>
          <w:szCs w:val="22"/>
        </w:rPr>
        <w:t>This represents 91.3% of those surveyed favoring the resolution.</w:t>
      </w:r>
    </w:p>
    <w:p w:rsidR="003D25C7" w:rsidRPr="001A1122" w:rsidRDefault="003D25C7" w:rsidP="0046302C">
      <w:pPr>
        <w:pStyle w:val="ListParagraph"/>
        <w:tabs>
          <w:tab w:val="left" w:pos="3150"/>
        </w:tabs>
        <w:rPr>
          <w:sz w:val="22"/>
          <w:szCs w:val="22"/>
        </w:rPr>
      </w:pPr>
    </w:p>
    <w:p w:rsidR="003D25C7" w:rsidRPr="001A1122" w:rsidRDefault="003D25C7" w:rsidP="008C631B">
      <w:pPr>
        <w:tabs>
          <w:tab w:val="left" w:pos="3150"/>
        </w:tabs>
        <w:rPr>
          <w:sz w:val="22"/>
          <w:szCs w:val="22"/>
        </w:rPr>
      </w:pPr>
      <w:r w:rsidRPr="001A1122">
        <w:rPr>
          <w:sz w:val="22"/>
          <w:szCs w:val="22"/>
        </w:rPr>
        <w:t>A variety of progress indicators were explored but ultimately the taskforce in collaboration with the Chancellor’s Office settled on the use of grades (A, B, C, D</w:t>
      </w:r>
      <w:r w:rsidR="000006F5" w:rsidRPr="001A1122">
        <w:rPr>
          <w:sz w:val="22"/>
          <w:szCs w:val="22"/>
        </w:rPr>
        <w:t>,</w:t>
      </w:r>
      <w:r w:rsidRPr="001A1122">
        <w:rPr>
          <w:sz w:val="22"/>
          <w:szCs w:val="22"/>
        </w:rPr>
        <w:t xml:space="preserve"> F</w:t>
      </w:r>
      <w:r w:rsidR="000006F5" w:rsidRPr="001A1122">
        <w:rPr>
          <w:sz w:val="22"/>
          <w:szCs w:val="22"/>
        </w:rPr>
        <w:t>, P and NP</w:t>
      </w:r>
      <w:r w:rsidRPr="001A1122">
        <w:rPr>
          <w:sz w:val="22"/>
          <w:szCs w:val="22"/>
        </w:rPr>
        <w:t xml:space="preserve">) as currently defined in Title 5 </w:t>
      </w:r>
      <w:r w:rsidR="000006F5" w:rsidRPr="001A1122">
        <w:rPr>
          <w:sz w:val="22"/>
          <w:szCs w:val="22"/>
        </w:rPr>
        <w:t xml:space="preserve">with the addition of </w:t>
      </w:r>
      <w:r w:rsidRPr="001A1122">
        <w:rPr>
          <w:b/>
          <w:bCs/>
          <w:sz w:val="22"/>
          <w:szCs w:val="22"/>
        </w:rPr>
        <w:t xml:space="preserve">SP = Satisfactory Progress </w:t>
      </w:r>
      <w:r w:rsidR="000006F5" w:rsidRPr="001A1122">
        <w:rPr>
          <w:b/>
          <w:bCs/>
          <w:sz w:val="22"/>
          <w:szCs w:val="22"/>
        </w:rPr>
        <w:t>towards completion of course</w:t>
      </w:r>
    </w:p>
    <w:p w:rsidR="001A1122" w:rsidRPr="001A1122" w:rsidRDefault="001A1122" w:rsidP="001A1122">
      <w:pPr>
        <w:tabs>
          <w:tab w:val="left" w:pos="360"/>
          <w:tab w:val="left" w:pos="3150"/>
        </w:tabs>
        <w:spacing w:before="120"/>
        <w:rPr>
          <w:sz w:val="22"/>
          <w:szCs w:val="22"/>
        </w:rPr>
      </w:pPr>
      <w:r w:rsidRPr="001A1122">
        <w:rPr>
          <w:sz w:val="22"/>
          <w:szCs w:val="22"/>
        </w:rPr>
        <w:t>The recommendations after three semesters of collecting data include:</w:t>
      </w:r>
    </w:p>
    <w:p w:rsidR="001A1122" w:rsidRPr="001A1122" w:rsidRDefault="001A1122" w:rsidP="001A1122">
      <w:pPr>
        <w:numPr>
          <w:ilvl w:val="0"/>
          <w:numId w:val="12"/>
        </w:numPr>
        <w:tabs>
          <w:tab w:val="left" w:pos="360"/>
          <w:tab w:val="left" w:pos="720"/>
        </w:tabs>
        <w:spacing w:before="120"/>
        <w:rPr>
          <w:sz w:val="22"/>
          <w:szCs w:val="22"/>
        </w:rPr>
      </w:pPr>
      <w:r w:rsidRPr="001A1122">
        <w:rPr>
          <w:sz w:val="22"/>
          <w:szCs w:val="22"/>
        </w:rPr>
        <w:t>Fast track changes to Title 5 to allow MIS submission of the noncredit progress indicators of A, B, C, D, F, P and NP with the addition of SP as a new indicator. Where SP is Satisfactory Progress towards the completion of a course and A, B, C, D, F, P, and NP are as currently defined by Title 5.  (These indicators have always been used for High School programs and some CTE courses for federal reporting.)</w:t>
      </w:r>
    </w:p>
    <w:p w:rsidR="001A1122" w:rsidRPr="001A1122" w:rsidRDefault="001A1122" w:rsidP="001A1122">
      <w:pPr>
        <w:pStyle w:val="ListParagraph"/>
        <w:tabs>
          <w:tab w:val="left" w:pos="3150"/>
        </w:tabs>
        <w:ind w:left="0"/>
        <w:rPr>
          <w:sz w:val="22"/>
          <w:szCs w:val="22"/>
        </w:rPr>
      </w:pPr>
    </w:p>
    <w:p w:rsidR="001A1122" w:rsidRPr="001A1122" w:rsidRDefault="001A1122" w:rsidP="00056AA3">
      <w:pPr>
        <w:pStyle w:val="ListParagraph"/>
        <w:numPr>
          <w:ilvl w:val="0"/>
          <w:numId w:val="12"/>
        </w:numPr>
        <w:tabs>
          <w:tab w:val="left" w:pos="900"/>
        </w:tabs>
        <w:ind w:left="360" w:firstLine="0"/>
        <w:rPr>
          <w:sz w:val="22"/>
          <w:szCs w:val="22"/>
        </w:rPr>
      </w:pPr>
      <w:r w:rsidRPr="001A1122">
        <w:rPr>
          <w:sz w:val="22"/>
          <w:szCs w:val="22"/>
        </w:rPr>
        <w:t xml:space="preserve">Include noncredit representation in all committees responsible for development of accountability metrics.  Future accountability measures should include:  </w:t>
      </w:r>
    </w:p>
    <w:p w:rsidR="001A1122" w:rsidRPr="001A1122" w:rsidRDefault="001A1122" w:rsidP="001A1122">
      <w:pPr>
        <w:pStyle w:val="ListParagraph"/>
        <w:numPr>
          <w:ilvl w:val="1"/>
          <w:numId w:val="10"/>
        </w:numPr>
        <w:tabs>
          <w:tab w:val="left" w:pos="1440"/>
        </w:tabs>
        <w:rPr>
          <w:sz w:val="22"/>
          <w:szCs w:val="22"/>
        </w:rPr>
      </w:pPr>
      <w:r w:rsidRPr="001A1122">
        <w:rPr>
          <w:sz w:val="22"/>
          <w:szCs w:val="22"/>
        </w:rPr>
        <w:t>Correct reporting for noncredit  CDCP certificate completion in MIS</w:t>
      </w:r>
    </w:p>
    <w:p w:rsidR="001A1122" w:rsidRPr="001A1122" w:rsidRDefault="001A1122" w:rsidP="001A1122">
      <w:pPr>
        <w:pStyle w:val="ListParagraph"/>
        <w:numPr>
          <w:ilvl w:val="1"/>
          <w:numId w:val="10"/>
        </w:numPr>
        <w:tabs>
          <w:tab w:val="left" w:pos="1440"/>
        </w:tabs>
        <w:rPr>
          <w:sz w:val="22"/>
          <w:szCs w:val="22"/>
        </w:rPr>
      </w:pPr>
      <w:r w:rsidRPr="001A1122">
        <w:rPr>
          <w:sz w:val="22"/>
          <w:szCs w:val="22"/>
        </w:rPr>
        <w:t>Appropriate definitions of cohorts</w:t>
      </w:r>
    </w:p>
    <w:p w:rsidR="001A1122" w:rsidRPr="001A1122" w:rsidRDefault="001A1122" w:rsidP="001A1122">
      <w:pPr>
        <w:pStyle w:val="ListParagraph"/>
        <w:numPr>
          <w:ilvl w:val="1"/>
          <w:numId w:val="10"/>
        </w:numPr>
        <w:tabs>
          <w:tab w:val="left" w:pos="1440"/>
        </w:tabs>
        <w:rPr>
          <w:sz w:val="22"/>
          <w:szCs w:val="22"/>
        </w:rPr>
      </w:pPr>
      <w:r w:rsidRPr="001A1122">
        <w:rPr>
          <w:sz w:val="22"/>
          <w:szCs w:val="22"/>
        </w:rPr>
        <w:t xml:space="preserve">Appropriate demographics </w:t>
      </w:r>
    </w:p>
    <w:p w:rsidR="001A1122" w:rsidRPr="001A1122" w:rsidRDefault="001A1122" w:rsidP="001A1122">
      <w:pPr>
        <w:pStyle w:val="ListParagraph"/>
        <w:numPr>
          <w:ilvl w:val="1"/>
          <w:numId w:val="10"/>
        </w:numPr>
        <w:tabs>
          <w:tab w:val="left" w:pos="1440"/>
        </w:tabs>
        <w:rPr>
          <w:sz w:val="22"/>
          <w:szCs w:val="22"/>
        </w:rPr>
      </w:pPr>
      <w:r w:rsidRPr="001A1122">
        <w:rPr>
          <w:sz w:val="22"/>
          <w:szCs w:val="22"/>
        </w:rPr>
        <w:t>Appropriate definitions of success</w:t>
      </w:r>
    </w:p>
    <w:p w:rsidR="001A1122" w:rsidRPr="001A1122" w:rsidRDefault="001A1122" w:rsidP="001A1122">
      <w:pPr>
        <w:pStyle w:val="ListParagraph"/>
        <w:numPr>
          <w:ilvl w:val="1"/>
          <w:numId w:val="10"/>
        </w:numPr>
        <w:tabs>
          <w:tab w:val="left" w:pos="1440"/>
        </w:tabs>
        <w:rPr>
          <w:sz w:val="22"/>
          <w:szCs w:val="22"/>
        </w:rPr>
      </w:pPr>
      <w:r w:rsidRPr="001A1122">
        <w:rPr>
          <w:sz w:val="22"/>
          <w:szCs w:val="22"/>
        </w:rPr>
        <w:t>Inclusion of noncredit students, who previously took or are concurrently enrolled in credit coursework, in noncredit cohort</w:t>
      </w:r>
    </w:p>
    <w:p w:rsidR="001A1122" w:rsidRPr="001A1122" w:rsidRDefault="001A1122" w:rsidP="001A1122">
      <w:pPr>
        <w:pStyle w:val="ListParagraph"/>
        <w:numPr>
          <w:ilvl w:val="1"/>
          <w:numId w:val="10"/>
        </w:numPr>
        <w:tabs>
          <w:tab w:val="left" w:pos="1440"/>
        </w:tabs>
        <w:rPr>
          <w:sz w:val="22"/>
          <w:szCs w:val="22"/>
        </w:rPr>
      </w:pPr>
      <w:r w:rsidRPr="001A1122">
        <w:rPr>
          <w:sz w:val="22"/>
          <w:szCs w:val="22"/>
        </w:rPr>
        <w:t>Appropriate definitions of persistence for noncredit</w:t>
      </w:r>
    </w:p>
    <w:p w:rsidR="001A1122" w:rsidRPr="001A1122" w:rsidRDefault="001A1122" w:rsidP="001A1122">
      <w:pPr>
        <w:pStyle w:val="ListParagraph"/>
        <w:numPr>
          <w:ilvl w:val="1"/>
          <w:numId w:val="10"/>
        </w:numPr>
        <w:tabs>
          <w:tab w:val="left" w:pos="1440"/>
        </w:tabs>
        <w:rPr>
          <w:sz w:val="22"/>
          <w:szCs w:val="22"/>
        </w:rPr>
      </w:pPr>
      <w:r w:rsidRPr="001A1122">
        <w:rPr>
          <w:sz w:val="22"/>
          <w:szCs w:val="22"/>
        </w:rPr>
        <w:t>Noncredit course success rate as a measure success is defined as students earning P, SP, A, B, C.</w:t>
      </w:r>
    </w:p>
    <w:p w:rsidR="001A1122" w:rsidRPr="001A1122" w:rsidRDefault="001A1122" w:rsidP="001A1122">
      <w:pPr>
        <w:pStyle w:val="ListParagraph"/>
        <w:numPr>
          <w:ilvl w:val="0"/>
          <w:numId w:val="12"/>
        </w:numPr>
        <w:tabs>
          <w:tab w:val="left" w:pos="900"/>
        </w:tabs>
        <w:rPr>
          <w:sz w:val="22"/>
          <w:szCs w:val="22"/>
        </w:rPr>
      </w:pPr>
      <w:r w:rsidRPr="001A1122">
        <w:rPr>
          <w:sz w:val="22"/>
          <w:szCs w:val="22"/>
        </w:rPr>
        <w:t>Train IT personnel, faculty, administrators and researchers in assigning, submitting and analyzing data relative to their responsibilities</w:t>
      </w:r>
    </w:p>
    <w:p w:rsidR="001A1122" w:rsidRPr="001A1122" w:rsidRDefault="001A1122" w:rsidP="001A1122">
      <w:pPr>
        <w:pStyle w:val="ListParagraph"/>
        <w:numPr>
          <w:ilvl w:val="0"/>
          <w:numId w:val="12"/>
        </w:numPr>
        <w:tabs>
          <w:tab w:val="left" w:pos="900"/>
        </w:tabs>
        <w:rPr>
          <w:sz w:val="22"/>
          <w:szCs w:val="22"/>
        </w:rPr>
      </w:pPr>
      <w:r w:rsidRPr="001A1122">
        <w:rPr>
          <w:sz w:val="22"/>
          <w:szCs w:val="22"/>
        </w:rPr>
        <w:t xml:space="preserve">Implement progress indicator or grade submission in all noncredit areas: ESL, Citizenship, High School Diploma, Adult Basic Education, Adult Secondary </w:t>
      </w:r>
      <w:r w:rsidR="00C31104" w:rsidRPr="001A1122">
        <w:rPr>
          <w:sz w:val="22"/>
          <w:szCs w:val="22"/>
        </w:rPr>
        <w:t>Education,</w:t>
      </w:r>
      <w:r w:rsidRPr="001A1122">
        <w:rPr>
          <w:sz w:val="22"/>
          <w:szCs w:val="22"/>
        </w:rPr>
        <w:t xml:space="preserve"> CTE, DSPS, OAP, Parenting</w:t>
      </w:r>
      <w:r w:rsidR="00C31104" w:rsidRPr="001A1122">
        <w:rPr>
          <w:sz w:val="22"/>
          <w:szCs w:val="22"/>
        </w:rPr>
        <w:t>, Health</w:t>
      </w:r>
      <w:r w:rsidRPr="001A1122">
        <w:rPr>
          <w:sz w:val="22"/>
          <w:szCs w:val="22"/>
        </w:rPr>
        <w:t xml:space="preserve"> and Safety, and Home Economics. (See Title 5 §58160 and </w:t>
      </w:r>
      <w:r w:rsidRPr="001A1122">
        <w:rPr>
          <w:color w:val="000000"/>
          <w:sz w:val="22"/>
          <w:szCs w:val="22"/>
        </w:rPr>
        <w:t xml:space="preserve">CEC §84757 </w:t>
      </w:r>
      <w:r w:rsidRPr="001A1122">
        <w:rPr>
          <w:sz w:val="22"/>
          <w:szCs w:val="22"/>
        </w:rPr>
        <w:t xml:space="preserve"> for these specific defined areas at the end of this appendix)</w:t>
      </w:r>
    </w:p>
    <w:p w:rsidR="001A1122" w:rsidRPr="001A1122" w:rsidRDefault="001A1122" w:rsidP="001A1122">
      <w:pPr>
        <w:pStyle w:val="ListParagraph"/>
        <w:numPr>
          <w:ilvl w:val="0"/>
          <w:numId w:val="12"/>
        </w:numPr>
        <w:tabs>
          <w:tab w:val="left" w:pos="900"/>
        </w:tabs>
        <w:rPr>
          <w:sz w:val="22"/>
          <w:szCs w:val="22"/>
        </w:rPr>
      </w:pPr>
      <w:r w:rsidRPr="001A1122">
        <w:rPr>
          <w:sz w:val="22"/>
          <w:szCs w:val="22"/>
        </w:rPr>
        <w:t>Direct local institutional MIS and SIS systems to accommodate noncredit data</w:t>
      </w:r>
    </w:p>
    <w:p w:rsidR="003D25C7" w:rsidRDefault="001A1122" w:rsidP="004267EA">
      <w:pPr>
        <w:pStyle w:val="ListParagraph"/>
        <w:numPr>
          <w:ilvl w:val="0"/>
          <w:numId w:val="12"/>
        </w:numPr>
        <w:tabs>
          <w:tab w:val="left" w:pos="900"/>
        </w:tabs>
        <w:autoSpaceDE w:val="0"/>
        <w:autoSpaceDN w:val="0"/>
        <w:adjustRightInd w:val="0"/>
      </w:pPr>
      <w:r w:rsidRPr="00E23191">
        <w:rPr>
          <w:sz w:val="22"/>
          <w:szCs w:val="22"/>
        </w:rPr>
        <w:t>Develop mechanisms to provide local faculty access to submit progress indicators or grades for noncredit coursework</w:t>
      </w:r>
    </w:p>
    <w:p w:rsidR="003D25C7" w:rsidRDefault="003D25C7" w:rsidP="00CE270F">
      <w:pPr>
        <w:tabs>
          <w:tab w:val="left" w:pos="3150"/>
        </w:tabs>
        <w:rPr>
          <w:b/>
        </w:rPr>
      </w:pPr>
      <w:r>
        <w:rPr>
          <w:b/>
        </w:rPr>
        <w:br w:type="page"/>
      </w:r>
    </w:p>
    <w:p w:rsidR="003D25C7" w:rsidRPr="003D5FA9" w:rsidRDefault="003D25C7" w:rsidP="003D5FA9">
      <w:pPr>
        <w:tabs>
          <w:tab w:val="left" w:pos="3150"/>
        </w:tabs>
      </w:pPr>
      <w:r w:rsidRPr="003D5FA9">
        <w:lastRenderedPageBreak/>
        <w:t>There are some pros and cons to this implementation as seen in the table below.</w:t>
      </w:r>
    </w:p>
    <w:tbl>
      <w:tblPr>
        <w:tblW w:w="98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2"/>
        <w:gridCol w:w="4698"/>
      </w:tblGrid>
      <w:tr w:rsidR="003D25C7" w:rsidRPr="006D30CD" w:rsidTr="00C31104">
        <w:trPr>
          <w:tblHeader/>
        </w:trPr>
        <w:tc>
          <w:tcPr>
            <w:tcW w:w="5112" w:type="dxa"/>
            <w:shd w:val="clear" w:color="auto" w:fill="DDD9C3"/>
          </w:tcPr>
          <w:p w:rsidR="003D25C7" w:rsidRPr="00246A69" w:rsidRDefault="003D25C7" w:rsidP="00246A69">
            <w:pPr>
              <w:tabs>
                <w:tab w:val="left" w:pos="3150"/>
              </w:tabs>
              <w:jc w:val="center"/>
              <w:rPr>
                <w:b/>
              </w:rPr>
            </w:pPr>
            <w:r w:rsidRPr="00246A69">
              <w:rPr>
                <w:b/>
                <w:sz w:val="22"/>
                <w:szCs w:val="22"/>
              </w:rPr>
              <w:t>Pros</w:t>
            </w:r>
          </w:p>
        </w:tc>
        <w:tc>
          <w:tcPr>
            <w:tcW w:w="4698" w:type="dxa"/>
            <w:shd w:val="clear" w:color="auto" w:fill="DDD9C3"/>
          </w:tcPr>
          <w:p w:rsidR="003D25C7" w:rsidRPr="00246A69" w:rsidRDefault="003D25C7" w:rsidP="00246A69">
            <w:pPr>
              <w:tabs>
                <w:tab w:val="left" w:pos="3150"/>
              </w:tabs>
              <w:jc w:val="center"/>
              <w:rPr>
                <w:b/>
              </w:rPr>
            </w:pPr>
            <w:r w:rsidRPr="00246A69">
              <w:rPr>
                <w:b/>
                <w:sz w:val="22"/>
                <w:szCs w:val="22"/>
              </w:rPr>
              <w:t>Cons</w:t>
            </w:r>
          </w:p>
        </w:tc>
      </w:tr>
      <w:tr w:rsidR="003D25C7" w:rsidRPr="006D30CD" w:rsidTr="00C31104">
        <w:tc>
          <w:tcPr>
            <w:tcW w:w="5112" w:type="dxa"/>
          </w:tcPr>
          <w:p w:rsidR="003D25C7" w:rsidRPr="00246A69" w:rsidRDefault="003D25C7" w:rsidP="00246A69">
            <w:pPr>
              <w:tabs>
                <w:tab w:val="left" w:pos="3150"/>
              </w:tabs>
            </w:pPr>
            <w:r w:rsidRPr="00246A69">
              <w:rPr>
                <w:sz w:val="22"/>
                <w:szCs w:val="22"/>
              </w:rPr>
              <w:t xml:space="preserve">Progress indicators (grades) present an accurate picture of noncredit success. </w:t>
            </w:r>
          </w:p>
        </w:tc>
        <w:tc>
          <w:tcPr>
            <w:tcW w:w="4698" w:type="dxa"/>
          </w:tcPr>
          <w:p w:rsidR="003D25C7" w:rsidRPr="00246A69" w:rsidRDefault="00C53661" w:rsidP="00246A69">
            <w:pPr>
              <w:tabs>
                <w:tab w:val="left" w:pos="3150"/>
              </w:tabs>
            </w:pPr>
            <w:r>
              <w:rPr>
                <w:sz w:val="22"/>
                <w:szCs w:val="22"/>
              </w:rPr>
              <w:t>Impact to MIS programming and Institutional Research departments is a significant impact on resources, both locally and at the state level.</w:t>
            </w:r>
          </w:p>
        </w:tc>
      </w:tr>
      <w:tr w:rsidR="00C53661" w:rsidRPr="006D30CD" w:rsidTr="00C31104">
        <w:tc>
          <w:tcPr>
            <w:tcW w:w="5112" w:type="dxa"/>
          </w:tcPr>
          <w:p w:rsidR="00C53661" w:rsidRPr="006D30CD" w:rsidRDefault="00C53661" w:rsidP="005364BB">
            <w:pPr>
              <w:tabs>
                <w:tab w:val="left" w:pos="3150"/>
              </w:tabs>
              <w:rPr>
                <w:sz w:val="22"/>
                <w:szCs w:val="22"/>
              </w:rPr>
            </w:pPr>
            <w:r>
              <w:rPr>
                <w:sz w:val="22"/>
                <w:szCs w:val="22"/>
              </w:rPr>
              <w:t xml:space="preserve">Increased accountability measures require us to assess and document evidence of student success. </w:t>
            </w:r>
          </w:p>
        </w:tc>
        <w:tc>
          <w:tcPr>
            <w:tcW w:w="4698" w:type="dxa"/>
          </w:tcPr>
          <w:p w:rsidR="00C53661" w:rsidRPr="006D30CD" w:rsidRDefault="00C53661" w:rsidP="005364BB">
            <w:pPr>
              <w:tabs>
                <w:tab w:val="left" w:pos="3150"/>
              </w:tabs>
              <w:rPr>
                <w:sz w:val="22"/>
                <w:szCs w:val="22"/>
              </w:rPr>
            </w:pPr>
            <w:r w:rsidRPr="006D30CD">
              <w:rPr>
                <w:sz w:val="22"/>
                <w:szCs w:val="22"/>
              </w:rPr>
              <w:t>Noncredit education is funded</w:t>
            </w:r>
            <w:r>
              <w:rPr>
                <w:sz w:val="22"/>
                <w:szCs w:val="22"/>
              </w:rPr>
              <w:t xml:space="preserve"> at a</w:t>
            </w:r>
            <w:r w:rsidRPr="006D30CD">
              <w:rPr>
                <w:sz w:val="22"/>
                <w:szCs w:val="22"/>
              </w:rPr>
              <w:t xml:space="preserve"> lower </w:t>
            </w:r>
            <w:r>
              <w:rPr>
                <w:sz w:val="22"/>
                <w:szCs w:val="22"/>
              </w:rPr>
              <w:t xml:space="preserve">rate </w:t>
            </w:r>
            <w:r w:rsidRPr="006D30CD">
              <w:rPr>
                <w:sz w:val="22"/>
                <w:szCs w:val="22"/>
              </w:rPr>
              <w:t xml:space="preserve">and accountability reporting </w:t>
            </w:r>
            <w:r>
              <w:rPr>
                <w:sz w:val="22"/>
                <w:szCs w:val="22"/>
              </w:rPr>
              <w:t>will require additional resources</w:t>
            </w:r>
            <w:r w:rsidRPr="006D30CD">
              <w:rPr>
                <w:sz w:val="22"/>
                <w:szCs w:val="22"/>
              </w:rPr>
              <w:t>.</w:t>
            </w:r>
          </w:p>
        </w:tc>
      </w:tr>
      <w:tr w:rsidR="003D25C7" w:rsidRPr="006D30CD" w:rsidTr="00C31104">
        <w:tc>
          <w:tcPr>
            <w:tcW w:w="5112" w:type="dxa"/>
          </w:tcPr>
          <w:p w:rsidR="003D25C7" w:rsidRPr="00246A69" w:rsidRDefault="003D25C7" w:rsidP="00246A69">
            <w:pPr>
              <w:tabs>
                <w:tab w:val="left" w:pos="3150"/>
              </w:tabs>
            </w:pPr>
            <w:r w:rsidRPr="00246A69">
              <w:rPr>
                <w:sz w:val="22"/>
                <w:szCs w:val="22"/>
              </w:rPr>
              <w:t xml:space="preserve">Reporting student success in noncredit creates accountability that is accurate and based on noncredit practitioner input. </w:t>
            </w:r>
            <w:r w:rsidR="00C53661" w:rsidRPr="006D30CD">
              <w:rPr>
                <w:sz w:val="22"/>
                <w:szCs w:val="22"/>
              </w:rPr>
              <w:t xml:space="preserve">Accountability </w:t>
            </w:r>
            <w:r w:rsidR="00C53661">
              <w:rPr>
                <w:sz w:val="22"/>
                <w:szCs w:val="22"/>
              </w:rPr>
              <w:t>focused on student learning is a more accurate and meaningful assessment as opposed to accountability based on attendance</w:t>
            </w:r>
            <w:r w:rsidR="00C53661" w:rsidRPr="006D30CD">
              <w:rPr>
                <w:sz w:val="22"/>
                <w:szCs w:val="22"/>
              </w:rPr>
              <w:t>.</w:t>
            </w:r>
          </w:p>
        </w:tc>
        <w:tc>
          <w:tcPr>
            <w:tcW w:w="4698" w:type="dxa"/>
          </w:tcPr>
          <w:p w:rsidR="003D25C7" w:rsidRPr="00246A69" w:rsidRDefault="00C53661" w:rsidP="00C53661">
            <w:pPr>
              <w:tabs>
                <w:tab w:val="left" w:pos="3150"/>
              </w:tabs>
            </w:pPr>
            <w:r>
              <w:rPr>
                <w:sz w:val="22"/>
                <w:szCs w:val="22"/>
              </w:rPr>
              <w:t>Most programs are staffed by adjunct faculty and it will be a challenge to train noncredit adjunct faculty.</w:t>
            </w:r>
          </w:p>
        </w:tc>
      </w:tr>
      <w:tr w:rsidR="00C53661" w:rsidRPr="006D30CD" w:rsidTr="00C31104">
        <w:tc>
          <w:tcPr>
            <w:tcW w:w="5112" w:type="dxa"/>
          </w:tcPr>
          <w:p w:rsidR="00C53661" w:rsidRPr="006D30CD" w:rsidRDefault="00C53661" w:rsidP="005364BB">
            <w:pPr>
              <w:tabs>
                <w:tab w:val="left" w:pos="3150"/>
              </w:tabs>
              <w:rPr>
                <w:sz w:val="22"/>
                <w:szCs w:val="22"/>
              </w:rPr>
            </w:pPr>
            <w:r>
              <w:rPr>
                <w:sz w:val="22"/>
                <w:szCs w:val="22"/>
              </w:rPr>
              <w:t>Of the programs who have participated in the study, union issues have not materialized.</w:t>
            </w:r>
            <w:r w:rsidRPr="006D30CD">
              <w:rPr>
                <w:sz w:val="22"/>
                <w:szCs w:val="22"/>
              </w:rPr>
              <w:t xml:space="preserve"> Thus far they have posed no problems since faculty have contractually always had to assess student progress in order to teach.</w:t>
            </w:r>
          </w:p>
        </w:tc>
        <w:tc>
          <w:tcPr>
            <w:tcW w:w="4698" w:type="dxa"/>
          </w:tcPr>
          <w:p w:rsidR="00C53661" w:rsidRPr="006D30CD" w:rsidRDefault="00C53661" w:rsidP="005364BB">
            <w:pPr>
              <w:tabs>
                <w:tab w:val="left" w:pos="3150"/>
              </w:tabs>
              <w:rPr>
                <w:sz w:val="22"/>
                <w:szCs w:val="22"/>
              </w:rPr>
            </w:pPr>
            <w:r>
              <w:rPr>
                <w:sz w:val="22"/>
                <w:szCs w:val="22"/>
              </w:rPr>
              <w:t>For institutions who did not participate, s</w:t>
            </w:r>
            <w:r w:rsidRPr="006D30CD">
              <w:rPr>
                <w:sz w:val="22"/>
                <w:szCs w:val="22"/>
              </w:rPr>
              <w:t>ome fear that union issues may arise</w:t>
            </w:r>
            <w:r>
              <w:rPr>
                <w:sz w:val="22"/>
                <w:szCs w:val="22"/>
              </w:rPr>
              <w:t>.  This is a local issue.</w:t>
            </w:r>
          </w:p>
        </w:tc>
      </w:tr>
      <w:tr w:rsidR="003D25C7" w:rsidRPr="006D30CD" w:rsidTr="00C31104">
        <w:tc>
          <w:tcPr>
            <w:tcW w:w="5112" w:type="dxa"/>
          </w:tcPr>
          <w:p w:rsidR="003D25C7" w:rsidRPr="00C53661" w:rsidRDefault="00C53661" w:rsidP="00246A69">
            <w:pPr>
              <w:tabs>
                <w:tab w:val="left" w:pos="3150"/>
              </w:tabs>
              <w:rPr>
                <w:sz w:val="22"/>
                <w:szCs w:val="22"/>
              </w:rPr>
            </w:pPr>
            <w:r>
              <w:rPr>
                <w:sz w:val="22"/>
                <w:szCs w:val="22"/>
              </w:rPr>
              <w:t>Assessment of progress indicators ensures evaluation consistency and allows faculty to reach consensus and reflect on assessment criteria.</w:t>
            </w:r>
          </w:p>
        </w:tc>
        <w:tc>
          <w:tcPr>
            <w:tcW w:w="4698" w:type="dxa"/>
          </w:tcPr>
          <w:p w:rsidR="003D25C7" w:rsidRPr="00C53661" w:rsidRDefault="00C53661" w:rsidP="00246A69">
            <w:pPr>
              <w:tabs>
                <w:tab w:val="left" w:pos="3150"/>
              </w:tabs>
              <w:rPr>
                <w:sz w:val="22"/>
                <w:szCs w:val="22"/>
              </w:rPr>
            </w:pPr>
            <w:r>
              <w:rPr>
                <w:sz w:val="22"/>
                <w:szCs w:val="22"/>
              </w:rPr>
              <w:t xml:space="preserve">Professional development and time for faculty discussions (almost all of whom are adjunct in noncredit programs) is essential.  </w:t>
            </w:r>
          </w:p>
        </w:tc>
      </w:tr>
      <w:tr w:rsidR="00C53661" w:rsidRPr="006D30CD" w:rsidTr="00C31104">
        <w:tc>
          <w:tcPr>
            <w:tcW w:w="5112" w:type="dxa"/>
          </w:tcPr>
          <w:p w:rsidR="00C53661" w:rsidRPr="006D30CD" w:rsidRDefault="00C53661" w:rsidP="005364BB">
            <w:pPr>
              <w:tabs>
                <w:tab w:val="left" w:pos="3150"/>
              </w:tabs>
              <w:rPr>
                <w:sz w:val="22"/>
                <w:szCs w:val="22"/>
              </w:rPr>
            </w:pPr>
            <w:r>
              <w:rPr>
                <w:sz w:val="22"/>
                <w:szCs w:val="22"/>
              </w:rPr>
              <w:t xml:space="preserve">Performance indictor reporting will </w:t>
            </w:r>
            <w:r w:rsidRPr="006D30CD">
              <w:rPr>
                <w:sz w:val="22"/>
                <w:szCs w:val="22"/>
              </w:rPr>
              <w:t xml:space="preserve">result in </w:t>
            </w:r>
            <w:r>
              <w:rPr>
                <w:sz w:val="22"/>
                <w:szCs w:val="22"/>
              </w:rPr>
              <w:t>accurate</w:t>
            </w:r>
            <w:r w:rsidRPr="006D30CD">
              <w:rPr>
                <w:sz w:val="22"/>
                <w:szCs w:val="22"/>
              </w:rPr>
              <w:t xml:space="preserve"> data for the ARCC reporting and improve current issues with CDCP and other noncredit reporting that has problems.</w:t>
            </w:r>
          </w:p>
        </w:tc>
        <w:tc>
          <w:tcPr>
            <w:tcW w:w="4698" w:type="dxa"/>
          </w:tcPr>
          <w:p w:rsidR="00C53661" w:rsidRPr="006D30CD" w:rsidRDefault="00C53661" w:rsidP="005364BB">
            <w:pPr>
              <w:tabs>
                <w:tab w:val="left" w:pos="3150"/>
              </w:tabs>
              <w:rPr>
                <w:sz w:val="22"/>
                <w:szCs w:val="22"/>
              </w:rPr>
            </w:pPr>
            <w:r>
              <w:rPr>
                <w:sz w:val="22"/>
                <w:szCs w:val="22"/>
              </w:rPr>
              <w:t>Data is open to misinterpretation by a variety of external organizations.</w:t>
            </w:r>
          </w:p>
        </w:tc>
      </w:tr>
      <w:tr w:rsidR="00C53661" w:rsidRPr="006D30CD" w:rsidTr="00C31104">
        <w:tc>
          <w:tcPr>
            <w:tcW w:w="5112" w:type="dxa"/>
          </w:tcPr>
          <w:p w:rsidR="00C53661" w:rsidRPr="00C53661" w:rsidRDefault="00C53661" w:rsidP="00246A69">
            <w:pPr>
              <w:tabs>
                <w:tab w:val="left" w:pos="3150"/>
              </w:tabs>
              <w:rPr>
                <w:sz w:val="22"/>
                <w:szCs w:val="22"/>
              </w:rPr>
            </w:pPr>
            <w:r w:rsidRPr="00246A69">
              <w:rPr>
                <w:sz w:val="22"/>
                <w:szCs w:val="22"/>
              </w:rPr>
              <w:t>Student success and progress data can</w:t>
            </w:r>
            <w:r>
              <w:rPr>
                <w:sz w:val="22"/>
                <w:szCs w:val="22"/>
              </w:rPr>
              <w:t xml:space="preserve"> be used to improve curriculum and evaluate program success.</w:t>
            </w:r>
          </w:p>
        </w:tc>
        <w:tc>
          <w:tcPr>
            <w:tcW w:w="4698" w:type="dxa"/>
          </w:tcPr>
          <w:p w:rsidR="00C53661" w:rsidRPr="00246A69" w:rsidRDefault="00C53661" w:rsidP="00246A69">
            <w:pPr>
              <w:tabs>
                <w:tab w:val="left" w:pos="3150"/>
              </w:tabs>
            </w:pPr>
            <w:r>
              <w:rPr>
                <w:sz w:val="22"/>
                <w:szCs w:val="22"/>
              </w:rPr>
              <w:t>Data analysis results m</w:t>
            </w:r>
            <w:r w:rsidRPr="006D30CD">
              <w:rPr>
                <w:sz w:val="22"/>
                <w:szCs w:val="22"/>
              </w:rPr>
              <w:t xml:space="preserve">ay reveal </w:t>
            </w:r>
            <w:r>
              <w:rPr>
                <w:sz w:val="22"/>
                <w:szCs w:val="22"/>
              </w:rPr>
              <w:t xml:space="preserve">program weaknesses.  </w:t>
            </w:r>
          </w:p>
        </w:tc>
      </w:tr>
      <w:tr w:rsidR="00C53661" w:rsidRPr="006D30CD" w:rsidTr="00C31104">
        <w:tc>
          <w:tcPr>
            <w:tcW w:w="5112" w:type="dxa"/>
          </w:tcPr>
          <w:p w:rsidR="00C53661" w:rsidRPr="00251849" w:rsidRDefault="00C53661" w:rsidP="002B66F1">
            <w:pPr>
              <w:tabs>
                <w:tab w:val="left" w:pos="3150"/>
              </w:tabs>
              <w:rPr>
                <w:sz w:val="22"/>
                <w:szCs w:val="22"/>
              </w:rPr>
            </w:pPr>
            <w:r>
              <w:rPr>
                <w:sz w:val="22"/>
                <w:szCs w:val="22"/>
              </w:rPr>
              <w:t>P and SP encourage noncredit students to matriculate into a variety of higher education programs.</w:t>
            </w:r>
          </w:p>
        </w:tc>
        <w:tc>
          <w:tcPr>
            <w:tcW w:w="4698" w:type="dxa"/>
          </w:tcPr>
          <w:p w:rsidR="00C53661" w:rsidRPr="00C53661" w:rsidRDefault="00C53661" w:rsidP="002B66F1">
            <w:pPr>
              <w:tabs>
                <w:tab w:val="left" w:pos="3150"/>
              </w:tabs>
              <w:rPr>
                <w:strike/>
                <w:sz w:val="22"/>
                <w:szCs w:val="22"/>
              </w:rPr>
            </w:pPr>
            <w:r>
              <w:rPr>
                <w:sz w:val="22"/>
                <w:szCs w:val="22"/>
              </w:rPr>
              <w:t xml:space="preserve">NP may discourage some students from pursuing their goals.  NP students may lack additional academic and student support (counseling) to overcome </w:t>
            </w:r>
          </w:p>
        </w:tc>
      </w:tr>
      <w:tr w:rsidR="00C53661" w:rsidRPr="006D30CD" w:rsidTr="00C31104">
        <w:tc>
          <w:tcPr>
            <w:tcW w:w="5112" w:type="dxa"/>
          </w:tcPr>
          <w:p w:rsidR="00C53661" w:rsidRPr="002A0214" w:rsidRDefault="002A0214" w:rsidP="00246A69">
            <w:pPr>
              <w:tabs>
                <w:tab w:val="left" w:pos="3150"/>
              </w:tabs>
              <w:rPr>
                <w:sz w:val="22"/>
                <w:szCs w:val="22"/>
              </w:rPr>
            </w:pPr>
            <w:r>
              <w:rPr>
                <w:sz w:val="22"/>
                <w:szCs w:val="22"/>
              </w:rPr>
              <w:t>Assessment allows another means for documenting student pathways to credit programs or other avenues of measuring success.</w:t>
            </w:r>
          </w:p>
        </w:tc>
        <w:tc>
          <w:tcPr>
            <w:tcW w:w="4698" w:type="dxa"/>
          </w:tcPr>
          <w:p w:rsidR="00C53661" w:rsidRPr="00246A69" w:rsidRDefault="002A0214" w:rsidP="00246A69">
            <w:pPr>
              <w:tabs>
                <w:tab w:val="left" w:pos="3150"/>
              </w:tabs>
            </w:pPr>
            <w:r>
              <w:rPr>
                <w:sz w:val="22"/>
                <w:szCs w:val="22"/>
              </w:rPr>
              <w:t>Again, money and time: requires analysis and interpretation.</w:t>
            </w:r>
          </w:p>
        </w:tc>
      </w:tr>
      <w:tr w:rsidR="00C53661" w:rsidRPr="006D30CD" w:rsidTr="00C31104">
        <w:tc>
          <w:tcPr>
            <w:tcW w:w="5112" w:type="dxa"/>
          </w:tcPr>
          <w:p w:rsidR="00C53661" w:rsidRPr="00246A69" w:rsidRDefault="00C53661" w:rsidP="002A0214">
            <w:pPr>
              <w:tabs>
                <w:tab w:val="left" w:pos="3150"/>
              </w:tabs>
            </w:pPr>
            <w:r w:rsidRPr="00246A69">
              <w:rPr>
                <w:sz w:val="22"/>
                <w:szCs w:val="22"/>
              </w:rPr>
              <w:t>CB 21 coding has already aligned man</w:t>
            </w:r>
            <w:r w:rsidR="002A0214">
              <w:rPr>
                <w:sz w:val="22"/>
                <w:szCs w:val="22"/>
              </w:rPr>
              <w:t>y noncredit and credit outcomes.</w:t>
            </w:r>
          </w:p>
        </w:tc>
        <w:tc>
          <w:tcPr>
            <w:tcW w:w="4698" w:type="dxa"/>
          </w:tcPr>
          <w:p w:rsidR="00C53661" w:rsidRPr="00246A69" w:rsidRDefault="00C53661" w:rsidP="00246A69">
            <w:pPr>
              <w:tabs>
                <w:tab w:val="left" w:pos="3150"/>
              </w:tabs>
            </w:pPr>
            <w:r w:rsidRPr="00246A69">
              <w:rPr>
                <w:sz w:val="22"/>
                <w:szCs w:val="22"/>
              </w:rPr>
              <w:t>This will require training of faculty which is difficult based upon the high percentage of adjunct faculty.</w:t>
            </w:r>
          </w:p>
        </w:tc>
      </w:tr>
      <w:tr w:rsidR="002A0214" w:rsidRPr="006D30CD" w:rsidTr="00C31104">
        <w:tc>
          <w:tcPr>
            <w:tcW w:w="5112" w:type="dxa"/>
          </w:tcPr>
          <w:p w:rsidR="002A0214" w:rsidRDefault="002A0214" w:rsidP="002A0214">
            <w:pPr>
              <w:tabs>
                <w:tab w:val="left" w:pos="3150"/>
              </w:tabs>
            </w:pPr>
            <w:r w:rsidRPr="00661AC1">
              <w:rPr>
                <w:sz w:val="22"/>
                <w:szCs w:val="22"/>
              </w:rPr>
              <w:t>Progress indicators define success on agreed indicators/outcomes and multiple measures (including CASAS or other outcomes measures).</w:t>
            </w:r>
            <w:r>
              <w:rPr>
                <w:sz w:val="22"/>
                <w:szCs w:val="22"/>
              </w:rPr>
              <w:t xml:space="preserve"> </w:t>
            </w:r>
            <w:proofErr w:type="gramStart"/>
            <w:r>
              <w:rPr>
                <w:sz w:val="22"/>
                <w:szCs w:val="22"/>
              </w:rPr>
              <w:t>Norming assessment criteria encourages</w:t>
            </w:r>
            <w:proofErr w:type="gramEnd"/>
            <w:r>
              <w:rPr>
                <w:sz w:val="22"/>
                <w:szCs w:val="22"/>
              </w:rPr>
              <w:t xml:space="preserve"> programs to standardize criteria for promotion tying assessment criteria to outcomes.</w:t>
            </w:r>
          </w:p>
        </w:tc>
        <w:tc>
          <w:tcPr>
            <w:tcW w:w="4698" w:type="dxa"/>
          </w:tcPr>
          <w:p w:rsidR="002A0214" w:rsidRDefault="002A0214" w:rsidP="002A0214">
            <w:pPr>
              <w:tabs>
                <w:tab w:val="left" w:pos="3150"/>
              </w:tabs>
            </w:pPr>
            <w:r>
              <w:rPr>
                <w:sz w:val="22"/>
                <w:szCs w:val="22"/>
              </w:rPr>
              <w:t>Not all institutions have access to CASAS and other funding mechanisms to support implementation. Implementation of defined measure puts noncredit characteristics of open entry and progress toward outcomes (as opposed to seat-time). Inconsistent interpretation of the data can lead to negative repercussions.</w:t>
            </w:r>
          </w:p>
        </w:tc>
      </w:tr>
      <w:tr w:rsidR="00C53661" w:rsidRPr="006D30CD" w:rsidTr="00C31104">
        <w:tc>
          <w:tcPr>
            <w:tcW w:w="5112" w:type="dxa"/>
          </w:tcPr>
          <w:p w:rsidR="00C53661" w:rsidRPr="00246A69" w:rsidRDefault="00C53661" w:rsidP="00246A69">
            <w:pPr>
              <w:tabs>
                <w:tab w:val="left" w:pos="3150"/>
              </w:tabs>
            </w:pPr>
            <w:r w:rsidRPr="00246A69">
              <w:rPr>
                <w:sz w:val="22"/>
                <w:szCs w:val="22"/>
              </w:rPr>
              <w:t>Provides comparable data among noncredit institutions &amp; evidence of success in noncredit format as compared to credit</w:t>
            </w:r>
            <w:r w:rsidR="002A0214">
              <w:rPr>
                <w:sz w:val="22"/>
                <w:szCs w:val="22"/>
              </w:rPr>
              <w:t>.</w:t>
            </w:r>
          </w:p>
        </w:tc>
        <w:tc>
          <w:tcPr>
            <w:tcW w:w="4698" w:type="dxa"/>
          </w:tcPr>
          <w:p w:rsidR="00C53661" w:rsidRPr="00246A69" w:rsidRDefault="00C53661" w:rsidP="00246A69">
            <w:pPr>
              <w:tabs>
                <w:tab w:val="left" w:pos="3150"/>
              </w:tabs>
            </w:pPr>
            <w:r w:rsidRPr="00246A69">
              <w:rPr>
                <w:sz w:val="22"/>
                <w:szCs w:val="22"/>
              </w:rPr>
              <w:t>There is difficulty in understanding the consequences and implementation in some noncredit classes like Older adults, DSPS, and parenting. Further study is necessary.</w:t>
            </w:r>
          </w:p>
        </w:tc>
      </w:tr>
      <w:tr w:rsidR="00C53661" w:rsidRPr="006D30CD" w:rsidTr="00C31104">
        <w:tc>
          <w:tcPr>
            <w:tcW w:w="5112" w:type="dxa"/>
          </w:tcPr>
          <w:p w:rsidR="00C53661" w:rsidRPr="00246A69" w:rsidRDefault="00C53661" w:rsidP="00246A69">
            <w:pPr>
              <w:tabs>
                <w:tab w:val="left" w:pos="3150"/>
              </w:tabs>
            </w:pPr>
            <w:r w:rsidRPr="00246A69">
              <w:rPr>
                <w:sz w:val="22"/>
                <w:szCs w:val="22"/>
              </w:rPr>
              <w:t>Exemplifies current educational research which indicates that students need to tangibly understand and monitor their progress</w:t>
            </w:r>
          </w:p>
        </w:tc>
        <w:tc>
          <w:tcPr>
            <w:tcW w:w="4698" w:type="dxa"/>
          </w:tcPr>
          <w:p w:rsidR="00C53661" w:rsidRPr="00246A69" w:rsidRDefault="002A0214" w:rsidP="002A0214">
            <w:pPr>
              <w:tabs>
                <w:tab w:val="left" w:pos="3150"/>
              </w:tabs>
            </w:pPr>
            <w:r>
              <w:rPr>
                <w:sz w:val="22"/>
                <w:szCs w:val="22"/>
              </w:rPr>
              <w:t>Without a statewide mandate, some institutions may not fund the implementation of reporting.</w:t>
            </w:r>
          </w:p>
        </w:tc>
      </w:tr>
    </w:tbl>
    <w:p w:rsidR="00A117A2" w:rsidRDefault="00A117A2" w:rsidP="003D5FA9">
      <w:pPr>
        <w:tabs>
          <w:tab w:val="left" w:pos="3150"/>
        </w:tabs>
      </w:pPr>
      <w:bookmarkStart w:id="0" w:name="IN;2"/>
      <w:bookmarkStart w:id="1" w:name="IN;1"/>
      <w:bookmarkStart w:id="2" w:name="IN;3"/>
      <w:bookmarkStart w:id="3" w:name="IN;4"/>
      <w:bookmarkStart w:id="4" w:name="IN;5"/>
      <w:bookmarkStart w:id="5" w:name="IN;6"/>
      <w:bookmarkStart w:id="6" w:name="IN;7"/>
      <w:bookmarkStart w:id="7" w:name="IN;8"/>
      <w:bookmarkStart w:id="8" w:name="IN;9"/>
      <w:bookmarkStart w:id="9" w:name="IN;10"/>
      <w:bookmarkStart w:id="10" w:name="IN;11"/>
      <w:bookmarkStart w:id="11" w:name="IN;12"/>
      <w:bookmarkStart w:id="12" w:name="_GoBack"/>
      <w:bookmarkEnd w:id="0"/>
      <w:bookmarkEnd w:id="1"/>
      <w:bookmarkEnd w:id="2"/>
      <w:bookmarkEnd w:id="3"/>
      <w:bookmarkEnd w:id="4"/>
      <w:bookmarkEnd w:id="5"/>
      <w:bookmarkEnd w:id="6"/>
      <w:bookmarkEnd w:id="7"/>
      <w:bookmarkEnd w:id="8"/>
      <w:bookmarkEnd w:id="9"/>
      <w:bookmarkEnd w:id="10"/>
      <w:bookmarkEnd w:id="11"/>
      <w:bookmarkEnd w:id="12"/>
    </w:p>
    <w:sectPr w:rsidR="00A117A2" w:rsidSect="00B30B87">
      <w:headerReference w:type="default" r:id="rId8"/>
      <w:footerReference w:type="default" r:id="rId9"/>
      <w:pgSz w:w="12240" w:h="15840"/>
      <w:pgMar w:top="720" w:right="720" w:bottom="720" w:left="720" w:header="54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26" w:rsidRDefault="00415626" w:rsidP="00416867">
      <w:r>
        <w:separator/>
      </w:r>
    </w:p>
  </w:endnote>
  <w:endnote w:type="continuationSeparator" w:id="0">
    <w:p w:rsidR="00415626" w:rsidRDefault="00415626" w:rsidP="0041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DFAL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C7" w:rsidRDefault="00415626">
    <w:pPr>
      <w:pStyle w:val="Footer"/>
      <w:jc w:val="right"/>
    </w:pPr>
    <w:r>
      <w:fldChar w:fldCharType="begin"/>
    </w:r>
    <w:r>
      <w:instrText xml:space="preserve"> PAGE   \* MERGEFORMAT </w:instrText>
    </w:r>
    <w:r>
      <w:fldChar w:fldCharType="separate"/>
    </w:r>
    <w:r w:rsidR="00B30B87">
      <w:rPr>
        <w:noProof/>
      </w:rPr>
      <w:t>2</w:t>
    </w:r>
    <w:r>
      <w:rPr>
        <w:noProof/>
      </w:rPr>
      <w:fldChar w:fldCharType="end"/>
    </w:r>
  </w:p>
  <w:p w:rsidR="003D25C7" w:rsidRDefault="003D25C7" w:rsidP="001A112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26" w:rsidRDefault="00415626" w:rsidP="00416867">
      <w:r>
        <w:separator/>
      </w:r>
    </w:p>
  </w:footnote>
  <w:footnote w:type="continuationSeparator" w:id="0">
    <w:p w:rsidR="00415626" w:rsidRDefault="00415626" w:rsidP="00416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91" w:rsidRDefault="00E23191" w:rsidP="00E23191">
    <w:pPr>
      <w:tabs>
        <w:tab w:val="left" w:pos="3150"/>
      </w:tabs>
      <w:jc w:val="right"/>
      <w:rPr>
        <w:b/>
        <w:sz w:val="28"/>
        <w:szCs w:val="28"/>
      </w:rPr>
    </w:pPr>
    <w:r>
      <w:rPr>
        <w:b/>
        <w:sz w:val="28"/>
        <w:szCs w:val="28"/>
      </w:rPr>
      <w:t xml:space="preserve">APPENDIX E </w:t>
    </w:r>
  </w:p>
  <w:p w:rsidR="00E23191" w:rsidRDefault="00E23191" w:rsidP="00E23191">
    <w:pPr>
      <w:tabs>
        <w:tab w:val="left" w:pos="3150"/>
      </w:tabs>
      <w:jc w:val="right"/>
      <w:rPr>
        <w:b/>
        <w:sz w:val="28"/>
        <w:szCs w:val="28"/>
      </w:rPr>
    </w:pPr>
  </w:p>
  <w:p w:rsidR="003D25C7" w:rsidRDefault="003D25C7" w:rsidP="000662C2">
    <w:pPr>
      <w:tabs>
        <w:tab w:val="left" w:pos="3150"/>
      </w:tabs>
      <w:jc w:val="center"/>
      <w:rPr>
        <w:b/>
        <w:sz w:val="28"/>
        <w:szCs w:val="28"/>
      </w:rPr>
    </w:pPr>
    <w:r w:rsidRPr="005E4DEA">
      <w:rPr>
        <w:b/>
        <w:sz w:val="28"/>
        <w:szCs w:val="28"/>
      </w:rPr>
      <w:t>Noncredit Progress Indicators Pilot</w:t>
    </w:r>
    <w:r>
      <w:rPr>
        <w:b/>
        <w:sz w:val="28"/>
        <w:szCs w:val="28"/>
      </w:rPr>
      <w:t xml:space="preserve"> Final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9E9"/>
    <w:multiLevelType w:val="hybridMultilevel"/>
    <w:tmpl w:val="6482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B57A2"/>
    <w:multiLevelType w:val="hybridMultilevel"/>
    <w:tmpl w:val="8ED89BA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AC3FC8"/>
    <w:multiLevelType w:val="hybridMultilevel"/>
    <w:tmpl w:val="818AF474"/>
    <w:lvl w:ilvl="0" w:tplc="23A242D0">
      <w:numFmt w:val="bullet"/>
      <w:lvlText w:val="-"/>
      <w:lvlJc w:val="left"/>
      <w:pPr>
        <w:tabs>
          <w:tab w:val="num" w:pos="2520"/>
        </w:tabs>
        <w:ind w:left="2520" w:hanging="360"/>
      </w:pPr>
      <w:rPr>
        <w:rFonts w:ascii="Arial" w:eastAsia="Times New Roman" w:hAnsi="Aria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24E65358"/>
    <w:multiLevelType w:val="multilevel"/>
    <w:tmpl w:val="5A9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45C81"/>
    <w:multiLevelType w:val="hybridMultilevel"/>
    <w:tmpl w:val="D93C736C"/>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68D4D44"/>
    <w:multiLevelType w:val="hybridMultilevel"/>
    <w:tmpl w:val="C8D89A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83437BA"/>
    <w:multiLevelType w:val="hybridMultilevel"/>
    <w:tmpl w:val="2958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A2161"/>
    <w:multiLevelType w:val="hybridMultilevel"/>
    <w:tmpl w:val="D93C736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495735E"/>
    <w:multiLevelType w:val="hybridMultilevel"/>
    <w:tmpl w:val="67BE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A522C"/>
    <w:multiLevelType w:val="hybridMultilevel"/>
    <w:tmpl w:val="6F20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F502C"/>
    <w:multiLevelType w:val="hybridMultilevel"/>
    <w:tmpl w:val="ED96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C086C"/>
    <w:multiLevelType w:val="hybridMultilevel"/>
    <w:tmpl w:val="8642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3"/>
  </w:num>
  <w:num w:numId="5">
    <w:abstractNumId w:val="10"/>
  </w:num>
  <w:num w:numId="6">
    <w:abstractNumId w:val="5"/>
  </w:num>
  <w:num w:numId="7">
    <w:abstractNumId w:val="2"/>
  </w:num>
  <w:num w:numId="8">
    <w:abstractNumId w:val="1"/>
  </w:num>
  <w:num w:numId="9">
    <w:abstractNumId w:val="8"/>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23"/>
    <w:rsid w:val="000006F5"/>
    <w:rsid w:val="000018FE"/>
    <w:rsid w:val="00016925"/>
    <w:rsid w:val="000347CF"/>
    <w:rsid w:val="00050E7C"/>
    <w:rsid w:val="00056AA3"/>
    <w:rsid w:val="000662C2"/>
    <w:rsid w:val="0006696E"/>
    <w:rsid w:val="00092979"/>
    <w:rsid w:val="000C05A4"/>
    <w:rsid w:val="000D423E"/>
    <w:rsid w:val="001031EB"/>
    <w:rsid w:val="0011123A"/>
    <w:rsid w:val="001132FC"/>
    <w:rsid w:val="00120D3F"/>
    <w:rsid w:val="00134BAB"/>
    <w:rsid w:val="001936F0"/>
    <w:rsid w:val="00197227"/>
    <w:rsid w:val="001A1122"/>
    <w:rsid w:val="001C4BD1"/>
    <w:rsid w:val="001F175A"/>
    <w:rsid w:val="001F187D"/>
    <w:rsid w:val="00214523"/>
    <w:rsid w:val="00246A69"/>
    <w:rsid w:val="00284FC1"/>
    <w:rsid w:val="002A0214"/>
    <w:rsid w:val="002D18BF"/>
    <w:rsid w:val="00325B61"/>
    <w:rsid w:val="00382088"/>
    <w:rsid w:val="00386DAE"/>
    <w:rsid w:val="00391F47"/>
    <w:rsid w:val="003A4504"/>
    <w:rsid w:val="003B5952"/>
    <w:rsid w:val="003C1589"/>
    <w:rsid w:val="003C7CDE"/>
    <w:rsid w:val="003D25C7"/>
    <w:rsid w:val="003D5FA9"/>
    <w:rsid w:val="003D6908"/>
    <w:rsid w:val="003E7A61"/>
    <w:rsid w:val="00415626"/>
    <w:rsid w:val="00416867"/>
    <w:rsid w:val="00425288"/>
    <w:rsid w:val="00425C97"/>
    <w:rsid w:val="004267EA"/>
    <w:rsid w:val="004359B3"/>
    <w:rsid w:val="00437908"/>
    <w:rsid w:val="0046302C"/>
    <w:rsid w:val="004B72E0"/>
    <w:rsid w:val="004D5DBD"/>
    <w:rsid w:val="004E7706"/>
    <w:rsid w:val="004F05AD"/>
    <w:rsid w:val="0050055A"/>
    <w:rsid w:val="005249F7"/>
    <w:rsid w:val="00551F61"/>
    <w:rsid w:val="005C3D5F"/>
    <w:rsid w:val="005E1D5D"/>
    <w:rsid w:val="005E4DEA"/>
    <w:rsid w:val="005F41D5"/>
    <w:rsid w:val="00612347"/>
    <w:rsid w:val="006252FE"/>
    <w:rsid w:val="006516AF"/>
    <w:rsid w:val="00671467"/>
    <w:rsid w:val="006D3019"/>
    <w:rsid w:val="006D30CD"/>
    <w:rsid w:val="00701F76"/>
    <w:rsid w:val="00724714"/>
    <w:rsid w:val="007333EC"/>
    <w:rsid w:val="00745323"/>
    <w:rsid w:val="0077683A"/>
    <w:rsid w:val="0080124F"/>
    <w:rsid w:val="00804F46"/>
    <w:rsid w:val="00826CB1"/>
    <w:rsid w:val="008341C4"/>
    <w:rsid w:val="00886F1D"/>
    <w:rsid w:val="008C631B"/>
    <w:rsid w:val="008E448A"/>
    <w:rsid w:val="009260D9"/>
    <w:rsid w:val="00985481"/>
    <w:rsid w:val="009A3BCE"/>
    <w:rsid w:val="009A4042"/>
    <w:rsid w:val="009B25E7"/>
    <w:rsid w:val="009E0C68"/>
    <w:rsid w:val="00A01D6C"/>
    <w:rsid w:val="00A117A2"/>
    <w:rsid w:val="00A2167C"/>
    <w:rsid w:val="00A241C4"/>
    <w:rsid w:val="00A36528"/>
    <w:rsid w:val="00A4771C"/>
    <w:rsid w:val="00A53A3C"/>
    <w:rsid w:val="00A637F1"/>
    <w:rsid w:val="00A96D2C"/>
    <w:rsid w:val="00AF6990"/>
    <w:rsid w:val="00B00FE1"/>
    <w:rsid w:val="00B30B87"/>
    <w:rsid w:val="00B80AF1"/>
    <w:rsid w:val="00C07DFE"/>
    <w:rsid w:val="00C14C82"/>
    <w:rsid w:val="00C259F0"/>
    <w:rsid w:val="00C31104"/>
    <w:rsid w:val="00C53661"/>
    <w:rsid w:val="00C66355"/>
    <w:rsid w:val="00C9524D"/>
    <w:rsid w:val="00CA7321"/>
    <w:rsid w:val="00CC4147"/>
    <w:rsid w:val="00CE264B"/>
    <w:rsid w:val="00CE270F"/>
    <w:rsid w:val="00CE6676"/>
    <w:rsid w:val="00CF55AF"/>
    <w:rsid w:val="00D11848"/>
    <w:rsid w:val="00D16AE5"/>
    <w:rsid w:val="00D756E5"/>
    <w:rsid w:val="00D93608"/>
    <w:rsid w:val="00DE46A0"/>
    <w:rsid w:val="00E23191"/>
    <w:rsid w:val="00E52E3F"/>
    <w:rsid w:val="00E62D31"/>
    <w:rsid w:val="00E741F7"/>
    <w:rsid w:val="00ED6C60"/>
    <w:rsid w:val="00EE082E"/>
    <w:rsid w:val="00F0246F"/>
    <w:rsid w:val="00F1783D"/>
    <w:rsid w:val="00F427BC"/>
    <w:rsid w:val="00F95C39"/>
    <w:rsid w:val="00F97A2B"/>
    <w:rsid w:val="00FB1488"/>
    <w:rsid w:val="00FD7A3D"/>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AB"/>
    <w:rPr>
      <w:sz w:val="24"/>
      <w:szCs w:val="24"/>
    </w:rPr>
  </w:style>
  <w:style w:type="paragraph" w:styleId="Heading2">
    <w:name w:val="heading 2"/>
    <w:basedOn w:val="Normal"/>
    <w:next w:val="Normal"/>
    <w:link w:val="Heading2Char"/>
    <w:uiPriority w:val="99"/>
    <w:qFormat/>
    <w:rsid w:val="006D3019"/>
    <w:pPr>
      <w:keepNext/>
      <w:jc w:val="both"/>
      <w:outlineLvl w:val="1"/>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6D3019"/>
    <w:rPr>
      <w:rFonts w:ascii="Arial" w:hAnsi="Arial" w:cs="Arial"/>
      <w:b/>
      <w:color w:val="000000"/>
      <w:sz w:val="24"/>
      <w:szCs w:val="24"/>
    </w:rPr>
  </w:style>
  <w:style w:type="paragraph" w:styleId="Header">
    <w:name w:val="header"/>
    <w:basedOn w:val="Normal"/>
    <w:link w:val="HeaderChar"/>
    <w:uiPriority w:val="99"/>
    <w:rsid w:val="00416867"/>
    <w:pPr>
      <w:tabs>
        <w:tab w:val="center" w:pos="4680"/>
        <w:tab w:val="right" w:pos="9360"/>
      </w:tabs>
    </w:pPr>
  </w:style>
  <w:style w:type="character" w:customStyle="1" w:styleId="HeaderChar">
    <w:name w:val="Header Char"/>
    <w:link w:val="Header"/>
    <w:uiPriority w:val="99"/>
    <w:locked/>
    <w:rsid w:val="00416867"/>
    <w:rPr>
      <w:rFonts w:cs="Times New Roman"/>
      <w:sz w:val="24"/>
      <w:szCs w:val="24"/>
    </w:rPr>
  </w:style>
  <w:style w:type="paragraph" w:styleId="Footer">
    <w:name w:val="footer"/>
    <w:basedOn w:val="Normal"/>
    <w:link w:val="FooterChar"/>
    <w:uiPriority w:val="99"/>
    <w:rsid w:val="00416867"/>
    <w:pPr>
      <w:tabs>
        <w:tab w:val="center" w:pos="4680"/>
        <w:tab w:val="right" w:pos="9360"/>
      </w:tabs>
    </w:pPr>
  </w:style>
  <w:style w:type="character" w:customStyle="1" w:styleId="FooterChar">
    <w:name w:val="Footer Char"/>
    <w:link w:val="Footer"/>
    <w:uiPriority w:val="99"/>
    <w:locked/>
    <w:rsid w:val="00416867"/>
    <w:rPr>
      <w:rFonts w:cs="Times New Roman"/>
      <w:sz w:val="24"/>
      <w:szCs w:val="24"/>
    </w:rPr>
  </w:style>
  <w:style w:type="paragraph" w:styleId="BalloonText">
    <w:name w:val="Balloon Text"/>
    <w:basedOn w:val="Normal"/>
    <w:link w:val="BalloonTextChar"/>
    <w:uiPriority w:val="99"/>
    <w:rsid w:val="00416867"/>
    <w:rPr>
      <w:rFonts w:ascii="Tahoma" w:hAnsi="Tahoma" w:cs="Tahoma"/>
      <w:sz w:val="16"/>
      <w:szCs w:val="16"/>
    </w:rPr>
  </w:style>
  <w:style w:type="character" w:customStyle="1" w:styleId="BalloonTextChar">
    <w:name w:val="Balloon Text Char"/>
    <w:link w:val="BalloonText"/>
    <w:uiPriority w:val="99"/>
    <w:locked/>
    <w:rsid w:val="00416867"/>
    <w:rPr>
      <w:rFonts w:ascii="Tahoma" w:hAnsi="Tahoma" w:cs="Tahoma"/>
      <w:sz w:val="16"/>
      <w:szCs w:val="16"/>
    </w:rPr>
  </w:style>
  <w:style w:type="paragraph" w:styleId="ListParagraph">
    <w:name w:val="List Paragraph"/>
    <w:basedOn w:val="Normal"/>
    <w:uiPriority w:val="99"/>
    <w:qFormat/>
    <w:rsid w:val="000347CF"/>
    <w:pPr>
      <w:ind w:left="720"/>
      <w:contextualSpacing/>
    </w:pPr>
  </w:style>
  <w:style w:type="table" w:styleId="TableGrid">
    <w:name w:val="Table Grid"/>
    <w:basedOn w:val="TableNormal"/>
    <w:uiPriority w:val="99"/>
    <w:rsid w:val="004E7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D3019"/>
    <w:pPr>
      <w:autoSpaceDE w:val="0"/>
      <w:autoSpaceDN w:val="0"/>
      <w:adjustRightInd w:val="0"/>
    </w:pPr>
    <w:rPr>
      <w:rFonts w:ascii="GDFALC+Arial" w:hAnsi="GDFALC+Arial" w:cs="GDFALC+Arial"/>
      <w:color w:val="000000"/>
      <w:sz w:val="24"/>
      <w:szCs w:val="24"/>
    </w:rPr>
  </w:style>
  <w:style w:type="paragraph" w:styleId="BodyText">
    <w:name w:val="Body Text"/>
    <w:basedOn w:val="Normal"/>
    <w:link w:val="BodyTextChar"/>
    <w:uiPriority w:val="99"/>
    <w:rsid w:val="006D3019"/>
    <w:pPr>
      <w:jc w:val="both"/>
    </w:pPr>
    <w:rPr>
      <w:rFonts w:ascii="Arial" w:hAnsi="Arial" w:cs="Arial"/>
      <w:color w:val="000000"/>
    </w:rPr>
  </w:style>
  <w:style w:type="character" w:customStyle="1" w:styleId="BodyTextChar">
    <w:name w:val="Body Text Char"/>
    <w:link w:val="BodyText"/>
    <w:uiPriority w:val="99"/>
    <w:locked/>
    <w:rsid w:val="006D3019"/>
    <w:rPr>
      <w:rFonts w:ascii="Arial" w:hAnsi="Arial" w:cs="Arial"/>
      <w:color w:val="000000"/>
      <w:sz w:val="24"/>
      <w:szCs w:val="24"/>
    </w:rPr>
  </w:style>
  <w:style w:type="paragraph" w:customStyle="1" w:styleId="Sectionhead">
    <w:name w:val="Section head"/>
    <w:basedOn w:val="Normal"/>
    <w:uiPriority w:val="99"/>
    <w:rsid w:val="006D3019"/>
    <w:pPr>
      <w:spacing w:after="144"/>
    </w:pPr>
    <w:rPr>
      <w:rFonts w:ascii="Arial" w:hAnsi="Arial" w:cs="Arial"/>
      <w:b/>
      <w:bCs/>
      <w:color w:val="000000"/>
    </w:rPr>
  </w:style>
  <w:style w:type="paragraph" w:customStyle="1" w:styleId="guidelinehead">
    <w:name w:val="guideline head"/>
    <w:basedOn w:val="Normal"/>
    <w:uiPriority w:val="99"/>
    <w:rsid w:val="006D3019"/>
    <w:pPr>
      <w:spacing w:before="240" w:after="144"/>
      <w:jc w:val="both"/>
    </w:pPr>
    <w:rPr>
      <w:rFonts w:ascii="Arial" w:hAnsi="Arial" w:cs="Arial"/>
      <w:b/>
      <w:color w:val="000000"/>
    </w:rPr>
  </w:style>
  <w:style w:type="paragraph" w:customStyle="1" w:styleId="sectiontext">
    <w:name w:val="section text"/>
    <w:basedOn w:val="Normal"/>
    <w:link w:val="sectiontextChar"/>
    <w:uiPriority w:val="99"/>
    <w:rsid w:val="006D3019"/>
    <w:pPr>
      <w:ind w:left="450" w:hanging="450"/>
      <w:jc w:val="both"/>
    </w:pPr>
    <w:rPr>
      <w:rFonts w:ascii="Arial" w:hAnsi="Arial" w:cs="Arial"/>
      <w:bCs/>
      <w:i/>
      <w:color w:val="000000"/>
    </w:rPr>
  </w:style>
  <w:style w:type="character" w:customStyle="1" w:styleId="sectiontextChar">
    <w:name w:val="section text Char"/>
    <w:link w:val="sectiontext"/>
    <w:uiPriority w:val="99"/>
    <w:locked/>
    <w:rsid w:val="006D3019"/>
    <w:rPr>
      <w:rFonts w:ascii="Arial" w:hAnsi="Arial" w:cs="Arial"/>
      <w:bCs/>
      <w:i/>
      <w:color w:val="000000"/>
      <w:sz w:val="24"/>
      <w:szCs w:val="24"/>
    </w:rPr>
  </w:style>
  <w:style w:type="paragraph" w:styleId="BodyText3">
    <w:name w:val="Body Text 3"/>
    <w:basedOn w:val="Normal"/>
    <w:link w:val="BodyText3Char"/>
    <w:uiPriority w:val="99"/>
    <w:rsid w:val="001F187D"/>
    <w:pPr>
      <w:spacing w:after="120"/>
    </w:pPr>
    <w:rPr>
      <w:sz w:val="16"/>
      <w:szCs w:val="16"/>
    </w:rPr>
  </w:style>
  <w:style w:type="character" w:customStyle="1" w:styleId="BodyText3Char">
    <w:name w:val="Body Text 3 Char"/>
    <w:link w:val="BodyText3"/>
    <w:uiPriority w:val="99"/>
    <w:locked/>
    <w:rsid w:val="001F187D"/>
    <w:rPr>
      <w:rFonts w:cs="Times New Roman"/>
      <w:sz w:val="16"/>
      <w:szCs w:val="16"/>
    </w:rPr>
  </w:style>
  <w:style w:type="character" w:styleId="Strong">
    <w:name w:val="Strong"/>
    <w:uiPriority w:val="99"/>
    <w:qFormat/>
    <w:rsid w:val="008341C4"/>
    <w:rPr>
      <w:rFonts w:cs="Times New Roman"/>
      <w:b/>
      <w:bCs/>
    </w:rPr>
  </w:style>
  <w:style w:type="paragraph" w:styleId="HTMLPreformatted">
    <w:name w:val="HTML Preformatted"/>
    <w:basedOn w:val="Normal"/>
    <w:link w:val="HTMLPreformattedChar"/>
    <w:uiPriority w:val="99"/>
    <w:rsid w:val="003C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3C158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AB"/>
    <w:rPr>
      <w:sz w:val="24"/>
      <w:szCs w:val="24"/>
    </w:rPr>
  </w:style>
  <w:style w:type="paragraph" w:styleId="Heading2">
    <w:name w:val="heading 2"/>
    <w:basedOn w:val="Normal"/>
    <w:next w:val="Normal"/>
    <w:link w:val="Heading2Char"/>
    <w:uiPriority w:val="99"/>
    <w:qFormat/>
    <w:rsid w:val="006D3019"/>
    <w:pPr>
      <w:keepNext/>
      <w:jc w:val="both"/>
      <w:outlineLvl w:val="1"/>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6D3019"/>
    <w:rPr>
      <w:rFonts w:ascii="Arial" w:hAnsi="Arial" w:cs="Arial"/>
      <w:b/>
      <w:color w:val="000000"/>
      <w:sz w:val="24"/>
      <w:szCs w:val="24"/>
    </w:rPr>
  </w:style>
  <w:style w:type="paragraph" w:styleId="Header">
    <w:name w:val="header"/>
    <w:basedOn w:val="Normal"/>
    <w:link w:val="HeaderChar"/>
    <w:uiPriority w:val="99"/>
    <w:rsid w:val="00416867"/>
    <w:pPr>
      <w:tabs>
        <w:tab w:val="center" w:pos="4680"/>
        <w:tab w:val="right" w:pos="9360"/>
      </w:tabs>
    </w:pPr>
  </w:style>
  <w:style w:type="character" w:customStyle="1" w:styleId="HeaderChar">
    <w:name w:val="Header Char"/>
    <w:link w:val="Header"/>
    <w:uiPriority w:val="99"/>
    <w:locked/>
    <w:rsid w:val="00416867"/>
    <w:rPr>
      <w:rFonts w:cs="Times New Roman"/>
      <w:sz w:val="24"/>
      <w:szCs w:val="24"/>
    </w:rPr>
  </w:style>
  <w:style w:type="paragraph" w:styleId="Footer">
    <w:name w:val="footer"/>
    <w:basedOn w:val="Normal"/>
    <w:link w:val="FooterChar"/>
    <w:uiPriority w:val="99"/>
    <w:rsid w:val="00416867"/>
    <w:pPr>
      <w:tabs>
        <w:tab w:val="center" w:pos="4680"/>
        <w:tab w:val="right" w:pos="9360"/>
      </w:tabs>
    </w:pPr>
  </w:style>
  <w:style w:type="character" w:customStyle="1" w:styleId="FooterChar">
    <w:name w:val="Footer Char"/>
    <w:link w:val="Footer"/>
    <w:uiPriority w:val="99"/>
    <w:locked/>
    <w:rsid w:val="00416867"/>
    <w:rPr>
      <w:rFonts w:cs="Times New Roman"/>
      <w:sz w:val="24"/>
      <w:szCs w:val="24"/>
    </w:rPr>
  </w:style>
  <w:style w:type="paragraph" w:styleId="BalloonText">
    <w:name w:val="Balloon Text"/>
    <w:basedOn w:val="Normal"/>
    <w:link w:val="BalloonTextChar"/>
    <w:uiPriority w:val="99"/>
    <w:rsid w:val="00416867"/>
    <w:rPr>
      <w:rFonts w:ascii="Tahoma" w:hAnsi="Tahoma" w:cs="Tahoma"/>
      <w:sz w:val="16"/>
      <w:szCs w:val="16"/>
    </w:rPr>
  </w:style>
  <w:style w:type="character" w:customStyle="1" w:styleId="BalloonTextChar">
    <w:name w:val="Balloon Text Char"/>
    <w:link w:val="BalloonText"/>
    <w:uiPriority w:val="99"/>
    <w:locked/>
    <w:rsid w:val="00416867"/>
    <w:rPr>
      <w:rFonts w:ascii="Tahoma" w:hAnsi="Tahoma" w:cs="Tahoma"/>
      <w:sz w:val="16"/>
      <w:szCs w:val="16"/>
    </w:rPr>
  </w:style>
  <w:style w:type="paragraph" w:styleId="ListParagraph">
    <w:name w:val="List Paragraph"/>
    <w:basedOn w:val="Normal"/>
    <w:uiPriority w:val="99"/>
    <w:qFormat/>
    <w:rsid w:val="000347CF"/>
    <w:pPr>
      <w:ind w:left="720"/>
      <w:contextualSpacing/>
    </w:pPr>
  </w:style>
  <w:style w:type="table" w:styleId="TableGrid">
    <w:name w:val="Table Grid"/>
    <w:basedOn w:val="TableNormal"/>
    <w:uiPriority w:val="99"/>
    <w:rsid w:val="004E7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D3019"/>
    <w:pPr>
      <w:autoSpaceDE w:val="0"/>
      <w:autoSpaceDN w:val="0"/>
      <w:adjustRightInd w:val="0"/>
    </w:pPr>
    <w:rPr>
      <w:rFonts w:ascii="GDFALC+Arial" w:hAnsi="GDFALC+Arial" w:cs="GDFALC+Arial"/>
      <w:color w:val="000000"/>
      <w:sz w:val="24"/>
      <w:szCs w:val="24"/>
    </w:rPr>
  </w:style>
  <w:style w:type="paragraph" w:styleId="BodyText">
    <w:name w:val="Body Text"/>
    <w:basedOn w:val="Normal"/>
    <w:link w:val="BodyTextChar"/>
    <w:uiPriority w:val="99"/>
    <w:rsid w:val="006D3019"/>
    <w:pPr>
      <w:jc w:val="both"/>
    </w:pPr>
    <w:rPr>
      <w:rFonts w:ascii="Arial" w:hAnsi="Arial" w:cs="Arial"/>
      <w:color w:val="000000"/>
    </w:rPr>
  </w:style>
  <w:style w:type="character" w:customStyle="1" w:styleId="BodyTextChar">
    <w:name w:val="Body Text Char"/>
    <w:link w:val="BodyText"/>
    <w:uiPriority w:val="99"/>
    <w:locked/>
    <w:rsid w:val="006D3019"/>
    <w:rPr>
      <w:rFonts w:ascii="Arial" w:hAnsi="Arial" w:cs="Arial"/>
      <w:color w:val="000000"/>
      <w:sz w:val="24"/>
      <w:szCs w:val="24"/>
    </w:rPr>
  </w:style>
  <w:style w:type="paragraph" w:customStyle="1" w:styleId="Sectionhead">
    <w:name w:val="Section head"/>
    <w:basedOn w:val="Normal"/>
    <w:uiPriority w:val="99"/>
    <w:rsid w:val="006D3019"/>
    <w:pPr>
      <w:spacing w:after="144"/>
    </w:pPr>
    <w:rPr>
      <w:rFonts w:ascii="Arial" w:hAnsi="Arial" w:cs="Arial"/>
      <w:b/>
      <w:bCs/>
      <w:color w:val="000000"/>
    </w:rPr>
  </w:style>
  <w:style w:type="paragraph" w:customStyle="1" w:styleId="guidelinehead">
    <w:name w:val="guideline head"/>
    <w:basedOn w:val="Normal"/>
    <w:uiPriority w:val="99"/>
    <w:rsid w:val="006D3019"/>
    <w:pPr>
      <w:spacing w:before="240" w:after="144"/>
      <w:jc w:val="both"/>
    </w:pPr>
    <w:rPr>
      <w:rFonts w:ascii="Arial" w:hAnsi="Arial" w:cs="Arial"/>
      <w:b/>
      <w:color w:val="000000"/>
    </w:rPr>
  </w:style>
  <w:style w:type="paragraph" w:customStyle="1" w:styleId="sectiontext">
    <w:name w:val="section text"/>
    <w:basedOn w:val="Normal"/>
    <w:link w:val="sectiontextChar"/>
    <w:uiPriority w:val="99"/>
    <w:rsid w:val="006D3019"/>
    <w:pPr>
      <w:ind w:left="450" w:hanging="450"/>
      <w:jc w:val="both"/>
    </w:pPr>
    <w:rPr>
      <w:rFonts w:ascii="Arial" w:hAnsi="Arial" w:cs="Arial"/>
      <w:bCs/>
      <w:i/>
      <w:color w:val="000000"/>
    </w:rPr>
  </w:style>
  <w:style w:type="character" w:customStyle="1" w:styleId="sectiontextChar">
    <w:name w:val="section text Char"/>
    <w:link w:val="sectiontext"/>
    <w:uiPriority w:val="99"/>
    <w:locked/>
    <w:rsid w:val="006D3019"/>
    <w:rPr>
      <w:rFonts w:ascii="Arial" w:hAnsi="Arial" w:cs="Arial"/>
      <w:bCs/>
      <w:i/>
      <w:color w:val="000000"/>
      <w:sz w:val="24"/>
      <w:szCs w:val="24"/>
    </w:rPr>
  </w:style>
  <w:style w:type="paragraph" w:styleId="BodyText3">
    <w:name w:val="Body Text 3"/>
    <w:basedOn w:val="Normal"/>
    <w:link w:val="BodyText3Char"/>
    <w:uiPriority w:val="99"/>
    <w:rsid w:val="001F187D"/>
    <w:pPr>
      <w:spacing w:after="120"/>
    </w:pPr>
    <w:rPr>
      <w:sz w:val="16"/>
      <w:szCs w:val="16"/>
    </w:rPr>
  </w:style>
  <w:style w:type="character" w:customStyle="1" w:styleId="BodyText3Char">
    <w:name w:val="Body Text 3 Char"/>
    <w:link w:val="BodyText3"/>
    <w:uiPriority w:val="99"/>
    <w:locked/>
    <w:rsid w:val="001F187D"/>
    <w:rPr>
      <w:rFonts w:cs="Times New Roman"/>
      <w:sz w:val="16"/>
      <w:szCs w:val="16"/>
    </w:rPr>
  </w:style>
  <w:style w:type="character" w:styleId="Strong">
    <w:name w:val="Strong"/>
    <w:uiPriority w:val="99"/>
    <w:qFormat/>
    <w:rsid w:val="008341C4"/>
    <w:rPr>
      <w:rFonts w:cs="Times New Roman"/>
      <w:b/>
      <w:bCs/>
    </w:rPr>
  </w:style>
  <w:style w:type="paragraph" w:styleId="HTMLPreformatted">
    <w:name w:val="HTML Preformatted"/>
    <w:basedOn w:val="Normal"/>
    <w:link w:val="HTMLPreformattedChar"/>
    <w:uiPriority w:val="99"/>
    <w:rsid w:val="003C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3C158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37153">
      <w:marLeft w:val="0"/>
      <w:marRight w:val="0"/>
      <w:marTop w:val="0"/>
      <w:marBottom w:val="0"/>
      <w:divBdr>
        <w:top w:val="none" w:sz="0" w:space="0" w:color="auto"/>
        <w:left w:val="none" w:sz="0" w:space="0" w:color="auto"/>
        <w:bottom w:val="none" w:sz="0" w:space="0" w:color="auto"/>
        <w:right w:val="none" w:sz="0" w:space="0" w:color="auto"/>
      </w:divBdr>
      <w:divsChild>
        <w:div w:id="849837154">
          <w:marLeft w:val="0"/>
          <w:marRight w:val="0"/>
          <w:marTop w:val="0"/>
          <w:marBottom w:val="0"/>
          <w:divBdr>
            <w:top w:val="none" w:sz="0" w:space="0" w:color="auto"/>
            <w:left w:val="none" w:sz="0" w:space="0" w:color="auto"/>
            <w:bottom w:val="none" w:sz="0" w:space="0" w:color="auto"/>
            <w:right w:val="none" w:sz="0" w:space="0" w:color="auto"/>
          </w:divBdr>
          <w:divsChild>
            <w:div w:id="8498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1059</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Julie Adams</cp:lastModifiedBy>
  <cp:revision>5</cp:revision>
  <cp:lastPrinted>2012-02-20T23:09:00Z</cp:lastPrinted>
  <dcterms:created xsi:type="dcterms:W3CDTF">2012-03-06T22:11:00Z</dcterms:created>
  <dcterms:modified xsi:type="dcterms:W3CDTF">2012-03-06T22:15:00Z</dcterms:modified>
</cp:coreProperties>
</file>