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C04C08" w14:textId="77777777" w:rsidR="007D71EF" w:rsidRDefault="007D71EF">
      <w:pPr>
        <w:pStyle w:val="Normal1"/>
      </w:pPr>
      <w:bookmarkStart w:id="0" w:name="h.gjdgxs" w:colFirst="0" w:colLast="0"/>
      <w:bookmarkEnd w:id="0"/>
    </w:p>
    <w:tbl>
      <w:tblPr>
        <w:tblStyle w:val="a"/>
        <w:tblW w:w="14840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4346"/>
        <w:gridCol w:w="3725"/>
        <w:gridCol w:w="3073"/>
      </w:tblGrid>
      <w:tr w:rsidR="007D71EF" w14:paraId="1DBC8B26" w14:textId="77777777">
        <w:trPr>
          <w:trHeight w:val="2420"/>
        </w:trPr>
        <w:tc>
          <w:tcPr>
            <w:tcW w:w="14840" w:type="dxa"/>
            <w:gridSpan w:val="4"/>
          </w:tcPr>
          <w:p w14:paraId="2131B483" w14:textId="77777777" w:rsidR="007D71EF" w:rsidRDefault="006A3D23">
            <w:pPr>
              <w:pStyle w:val="Normal1"/>
              <w:contextualSpacing w:val="0"/>
              <w:jc w:val="center"/>
            </w:pPr>
            <w:r>
              <w:rPr>
                <w:b/>
                <w:color w:val="C00000"/>
              </w:rPr>
              <w:t>ASCCC STRATEGIC PLAN OBJECTIVES BEING MET BY THIS PROPOSAL</w:t>
            </w:r>
          </w:p>
          <w:p w14:paraId="0AE6C4C2" w14:textId="77777777" w:rsidR="007D71EF" w:rsidRDefault="007D71EF">
            <w:pPr>
              <w:pStyle w:val="Normal1"/>
              <w:contextualSpacing w:val="0"/>
            </w:pPr>
          </w:p>
          <w:p w14:paraId="5216FEAC" w14:textId="77777777" w:rsidR="007D71EF" w:rsidRDefault="006A3D23">
            <w:pPr>
              <w:pStyle w:val="Normal1"/>
              <w:contextualSpacing w:val="0"/>
            </w:pPr>
            <w:r>
              <w:rPr>
                <w:b/>
                <w:color w:val="C00000"/>
              </w:rPr>
              <w:t>GOAL 2: ENGAGE AND EMPOWER DIVERSE GROUPS OF FACULTY AT ALL LEVELS OF STATE AND LOCAL LEADERSHIP</w:t>
            </w:r>
          </w:p>
          <w:p w14:paraId="5734EF2A" w14:textId="77777777" w:rsidR="007D71EF" w:rsidRDefault="006A3D23">
            <w:pPr>
              <w:pStyle w:val="Normal1"/>
              <w:ind w:left="720"/>
              <w:contextualSpacing w:val="0"/>
            </w:pPr>
            <w:r>
              <w:rPr>
                <w:b/>
              </w:rPr>
              <w:t xml:space="preserve">Objective 2.1:  Increase leadership development opportunities for diverse faculty such that they are prepared to participate in and lead local and statewide conversations.  </w:t>
            </w:r>
          </w:p>
          <w:p w14:paraId="24C80091" w14:textId="77777777" w:rsidR="007D71EF" w:rsidRDefault="007D71EF">
            <w:pPr>
              <w:pStyle w:val="Normal1"/>
              <w:ind w:left="720"/>
              <w:contextualSpacing w:val="0"/>
            </w:pPr>
          </w:p>
          <w:p w14:paraId="27CA7A24" w14:textId="77777777" w:rsidR="007D71EF" w:rsidRDefault="006A3D23">
            <w:pPr>
              <w:pStyle w:val="Normal1"/>
              <w:ind w:left="720"/>
              <w:contextualSpacing w:val="0"/>
            </w:pPr>
            <w:r>
              <w:rPr>
                <w:b/>
              </w:rPr>
              <w:t>Objective 2.2. Increase the diversity of faculty representation, on committees of the ASCCC, including the Executive Committee, and other system consultation bodies to better reflect the diversity of California.</w:t>
            </w:r>
          </w:p>
        </w:tc>
      </w:tr>
      <w:tr w:rsidR="007D71EF" w14:paraId="33D08894" w14:textId="77777777">
        <w:trPr>
          <w:trHeight w:val="580"/>
        </w:trPr>
        <w:tc>
          <w:tcPr>
            <w:tcW w:w="14840" w:type="dxa"/>
            <w:gridSpan w:val="4"/>
          </w:tcPr>
          <w:p w14:paraId="65330300" w14:textId="77777777" w:rsidR="007D71EF" w:rsidRDefault="006A3D23">
            <w:pPr>
              <w:pStyle w:val="Normal1"/>
              <w:contextualSpacing w:val="0"/>
            </w:pPr>
            <w:r>
              <w:rPr>
                <w:b/>
                <w:i/>
              </w:rPr>
              <w:t xml:space="preserve">Objective 2.2.1: Provide cultural competency training and resources </w:t>
            </w:r>
          </w:p>
          <w:p w14:paraId="7106FACD" w14:textId="77777777" w:rsidR="007D71EF" w:rsidRDefault="007D71EF">
            <w:pPr>
              <w:pStyle w:val="Normal1"/>
              <w:contextualSpacing w:val="0"/>
            </w:pPr>
          </w:p>
        </w:tc>
      </w:tr>
      <w:tr w:rsidR="007D71EF" w14:paraId="454AE927" w14:textId="77777777" w:rsidTr="00E45799">
        <w:trPr>
          <w:trHeight w:val="280"/>
        </w:trPr>
        <w:tc>
          <w:tcPr>
            <w:tcW w:w="3696" w:type="dxa"/>
            <w:shd w:val="clear" w:color="auto" w:fill="E7E6E6"/>
          </w:tcPr>
          <w:p w14:paraId="62146437" w14:textId="77777777" w:rsidR="007D71EF" w:rsidRDefault="006A3D23">
            <w:pPr>
              <w:pStyle w:val="Normal1"/>
              <w:contextualSpacing w:val="0"/>
              <w:jc w:val="center"/>
            </w:pPr>
            <w:r>
              <w:rPr>
                <w:b/>
              </w:rPr>
              <w:t>Strategies</w:t>
            </w:r>
          </w:p>
        </w:tc>
        <w:tc>
          <w:tcPr>
            <w:tcW w:w="4346" w:type="dxa"/>
            <w:shd w:val="clear" w:color="auto" w:fill="E7E6E6"/>
          </w:tcPr>
          <w:p w14:paraId="435572A3" w14:textId="77777777" w:rsidR="007D71EF" w:rsidRDefault="006A3D23">
            <w:pPr>
              <w:pStyle w:val="Normal1"/>
              <w:contextualSpacing w:val="0"/>
              <w:jc w:val="center"/>
            </w:pPr>
            <w:r>
              <w:rPr>
                <w:b/>
              </w:rPr>
              <w:t>Actions</w:t>
            </w:r>
          </w:p>
        </w:tc>
        <w:tc>
          <w:tcPr>
            <w:tcW w:w="3725" w:type="dxa"/>
            <w:shd w:val="clear" w:color="auto" w:fill="E7E6E6"/>
          </w:tcPr>
          <w:p w14:paraId="401BBD31" w14:textId="77777777" w:rsidR="007D71EF" w:rsidRDefault="006A3D23">
            <w:pPr>
              <w:pStyle w:val="Normal1"/>
              <w:contextualSpacing w:val="0"/>
              <w:jc w:val="center"/>
            </w:pPr>
            <w:r>
              <w:rPr>
                <w:b/>
              </w:rPr>
              <w:t>Responsible Party</w:t>
            </w:r>
          </w:p>
        </w:tc>
        <w:tc>
          <w:tcPr>
            <w:tcW w:w="3073" w:type="dxa"/>
            <w:shd w:val="clear" w:color="auto" w:fill="E7E6E6"/>
          </w:tcPr>
          <w:p w14:paraId="0335E2D0" w14:textId="77777777" w:rsidR="007D71EF" w:rsidRDefault="006A3D23">
            <w:pPr>
              <w:pStyle w:val="Normal1"/>
              <w:contextualSpacing w:val="0"/>
              <w:jc w:val="center"/>
            </w:pPr>
            <w:r>
              <w:rPr>
                <w:b/>
              </w:rPr>
              <w:t xml:space="preserve">Recommended Timeline  </w:t>
            </w:r>
          </w:p>
        </w:tc>
      </w:tr>
      <w:tr w:rsidR="007D71EF" w14:paraId="510FBCA0" w14:textId="77777777" w:rsidTr="00E45799">
        <w:trPr>
          <w:trHeight w:val="300"/>
        </w:trPr>
        <w:tc>
          <w:tcPr>
            <w:tcW w:w="3696" w:type="dxa"/>
          </w:tcPr>
          <w:p w14:paraId="343B4812" w14:textId="77777777" w:rsidR="007D71EF" w:rsidRDefault="006A3D23">
            <w:pPr>
              <w:pStyle w:val="Normal1"/>
              <w:contextualSpacing w:val="0"/>
            </w:pPr>
            <w:r>
              <w:t>Ensuring CCC academic senates are culturally inclusive communities and provide culturally proficient leadership for their campus.”</w:t>
            </w:r>
          </w:p>
          <w:p w14:paraId="6148A158" w14:textId="77777777" w:rsidR="007D71EF" w:rsidRDefault="007D71EF">
            <w:pPr>
              <w:pStyle w:val="Normal1"/>
              <w:contextualSpacing w:val="0"/>
            </w:pPr>
          </w:p>
        </w:tc>
        <w:tc>
          <w:tcPr>
            <w:tcW w:w="4346" w:type="dxa"/>
          </w:tcPr>
          <w:p w14:paraId="3A629FC2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r>
              <w:t>Emphasis that the Cultural Proficiency Continuum has a developmental framework</w:t>
            </w:r>
          </w:p>
          <w:p w14:paraId="7497B9CD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r>
              <w:t xml:space="preserve">Provide a facilitated training to the Executive Committee at orientation or the first meeting of each new year.  </w:t>
            </w:r>
          </w:p>
          <w:p w14:paraId="7BBFF5FD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r>
              <w:t>Include a facilitated training on the Faculty Leadership Program in a general session.</w:t>
            </w:r>
          </w:p>
          <w:p w14:paraId="0E4CE951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r>
              <w:t>Conduct a series of regional meetings on</w:t>
            </w:r>
            <w:commentRangeStart w:id="1"/>
            <w:r>
              <w:t xml:space="preserve"> cultural competency</w:t>
            </w:r>
            <w:commentRangeEnd w:id="1"/>
            <w:r>
              <w:commentReference w:id="1"/>
            </w:r>
            <w:r>
              <w:t xml:space="preserve"> and proficiency.  </w:t>
            </w:r>
          </w:p>
          <w:p w14:paraId="379F8C63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commentRangeStart w:id="2"/>
            <w:r>
              <w:t xml:space="preserve">Include breakouts at each ASCCC event on cultural competency.  </w:t>
            </w:r>
            <w:commentRangeEnd w:id="2"/>
            <w:r>
              <w:commentReference w:id="2"/>
            </w:r>
          </w:p>
          <w:p w14:paraId="7ED98222" w14:textId="77777777" w:rsidR="007D71EF" w:rsidRDefault="006A3D23">
            <w:pPr>
              <w:pStyle w:val="Normal1"/>
              <w:widowControl/>
              <w:numPr>
                <w:ilvl w:val="0"/>
                <w:numId w:val="3"/>
              </w:numPr>
              <w:ind w:hanging="360"/>
            </w:pPr>
            <w:commentRangeStart w:id="3"/>
            <w:r>
              <w:t>Facilitate “courageous conversations</w:t>
            </w:r>
            <w:commentRangeEnd w:id="3"/>
            <w:r>
              <w:commentReference w:id="3"/>
            </w:r>
            <w:r>
              <w:t xml:space="preserve">” locally at colleges  --Flex days, local </w:t>
            </w:r>
            <w:r>
              <w:lastRenderedPageBreak/>
              <w:t xml:space="preserve">senate meetings, etc. </w:t>
            </w:r>
            <w:bookmarkStart w:id="4" w:name="_GoBack"/>
            <w:bookmarkEnd w:id="4"/>
          </w:p>
        </w:tc>
        <w:tc>
          <w:tcPr>
            <w:tcW w:w="3725" w:type="dxa"/>
          </w:tcPr>
          <w:p w14:paraId="79626030" w14:textId="77777777" w:rsidR="007D71EF" w:rsidRDefault="006A3D23">
            <w:pPr>
              <w:pStyle w:val="Normal1"/>
              <w:contextualSpacing w:val="0"/>
            </w:pPr>
            <w:r>
              <w:lastRenderedPageBreak/>
              <w:t>Executive Committee and EDAC</w:t>
            </w:r>
            <w:r>
              <w:rPr>
                <w:vertAlign w:val="superscript"/>
              </w:rPr>
              <w:footnoteReference w:id="1"/>
            </w:r>
          </w:p>
          <w:p w14:paraId="4E110BCB" w14:textId="77777777" w:rsidR="007D71EF" w:rsidRDefault="007D71EF">
            <w:pPr>
              <w:pStyle w:val="Normal1"/>
              <w:contextualSpacing w:val="0"/>
            </w:pPr>
          </w:p>
          <w:p w14:paraId="7EFE5C69" w14:textId="77777777" w:rsidR="007D71EF" w:rsidRDefault="007D71EF">
            <w:pPr>
              <w:pStyle w:val="Normal1"/>
              <w:contextualSpacing w:val="0"/>
            </w:pPr>
          </w:p>
          <w:p w14:paraId="7F2C1709" w14:textId="77777777" w:rsidR="007D71EF" w:rsidRDefault="007D71EF">
            <w:pPr>
              <w:pStyle w:val="Normal1"/>
              <w:contextualSpacing w:val="0"/>
            </w:pPr>
          </w:p>
          <w:p w14:paraId="597CADE0" w14:textId="77777777" w:rsidR="007D71EF" w:rsidRDefault="007D71EF">
            <w:pPr>
              <w:pStyle w:val="Normal1"/>
              <w:contextualSpacing w:val="0"/>
            </w:pPr>
          </w:p>
          <w:p w14:paraId="1F276316" w14:textId="77777777" w:rsidR="007D71EF" w:rsidRDefault="007D71EF">
            <w:pPr>
              <w:pStyle w:val="Normal1"/>
              <w:contextualSpacing w:val="0"/>
            </w:pPr>
          </w:p>
          <w:p w14:paraId="45110E5F" w14:textId="77777777" w:rsidR="007D71EF" w:rsidRDefault="007D71EF">
            <w:pPr>
              <w:pStyle w:val="Normal1"/>
              <w:contextualSpacing w:val="0"/>
            </w:pPr>
          </w:p>
        </w:tc>
        <w:tc>
          <w:tcPr>
            <w:tcW w:w="3073" w:type="dxa"/>
          </w:tcPr>
          <w:p w14:paraId="3A612203" w14:textId="77777777" w:rsidR="007D71EF" w:rsidRDefault="006A3D23">
            <w:pPr>
              <w:pStyle w:val="Normal1"/>
              <w:contextualSpacing w:val="0"/>
            </w:pPr>
            <w:r>
              <w:t xml:space="preserve">2016 – 2017 </w:t>
            </w:r>
          </w:p>
          <w:p w14:paraId="3B629C37" w14:textId="77777777" w:rsidR="007D71EF" w:rsidRDefault="007D71EF">
            <w:pPr>
              <w:pStyle w:val="Normal1"/>
              <w:contextualSpacing w:val="0"/>
            </w:pPr>
          </w:p>
        </w:tc>
      </w:tr>
      <w:tr w:rsidR="007D71EF" w14:paraId="42C83304" w14:textId="77777777" w:rsidTr="00E45799">
        <w:trPr>
          <w:trHeight w:val="1460"/>
        </w:trPr>
        <w:tc>
          <w:tcPr>
            <w:tcW w:w="3696" w:type="dxa"/>
          </w:tcPr>
          <w:p w14:paraId="63C42D60" w14:textId="77777777" w:rsidR="007D71EF" w:rsidRDefault="006A3D23">
            <w:pPr>
              <w:pStyle w:val="Normal1"/>
              <w:widowControl/>
              <w:contextualSpacing w:val="0"/>
            </w:pPr>
            <w:commentRangeStart w:id="5"/>
            <w:r>
              <w:lastRenderedPageBreak/>
              <w:t xml:space="preserve">Build resources on cultural competency </w:t>
            </w:r>
            <w:commentRangeEnd w:id="5"/>
            <w:r>
              <w:commentReference w:id="5"/>
            </w:r>
          </w:p>
        </w:tc>
        <w:tc>
          <w:tcPr>
            <w:tcW w:w="4346" w:type="dxa"/>
          </w:tcPr>
          <w:p w14:paraId="780DA140" w14:textId="77777777" w:rsidR="007D71EF" w:rsidRDefault="006A3D23">
            <w:pPr>
              <w:pStyle w:val="Normal1"/>
              <w:widowControl/>
              <w:numPr>
                <w:ilvl w:val="0"/>
                <w:numId w:val="2"/>
              </w:numPr>
              <w:ind w:hanging="360"/>
            </w:pPr>
            <w:r>
              <w:t>Research literature in this area and make available on the ASCCC website.</w:t>
            </w:r>
          </w:p>
          <w:p w14:paraId="3DF00B3D" w14:textId="77777777" w:rsidR="007D71EF" w:rsidRDefault="006A3D23">
            <w:pPr>
              <w:pStyle w:val="Normal1"/>
              <w:widowControl/>
              <w:numPr>
                <w:ilvl w:val="0"/>
                <w:numId w:val="2"/>
              </w:numPr>
              <w:ind w:hanging="360"/>
            </w:pPr>
            <w:r>
              <w:t>Create a</w:t>
            </w:r>
            <w:commentRangeStart w:id="6"/>
            <w:r>
              <w:t xml:space="preserve"> training handbook</w:t>
            </w:r>
            <w:commentRangeEnd w:id="6"/>
            <w:r>
              <w:commentReference w:id="6"/>
            </w:r>
            <w:r>
              <w:t xml:space="preserve">.  </w:t>
            </w:r>
          </w:p>
          <w:p w14:paraId="3CEBE7B8" w14:textId="77777777" w:rsidR="007D71EF" w:rsidRDefault="006A3D23">
            <w:pPr>
              <w:pStyle w:val="Normal1"/>
              <w:widowControl/>
              <w:numPr>
                <w:ilvl w:val="0"/>
                <w:numId w:val="2"/>
              </w:numPr>
              <w:ind w:hanging="360"/>
            </w:pPr>
            <w:r>
              <w:t xml:space="preserve">Create a survey that local senates could use to inform their faculty.  </w:t>
            </w:r>
          </w:p>
        </w:tc>
        <w:tc>
          <w:tcPr>
            <w:tcW w:w="3725" w:type="dxa"/>
          </w:tcPr>
          <w:p w14:paraId="41255F67" w14:textId="77777777" w:rsidR="007D71EF" w:rsidRDefault="006A3D23">
            <w:pPr>
              <w:pStyle w:val="Normal1"/>
              <w:widowControl/>
              <w:contextualSpacing w:val="0"/>
            </w:pPr>
            <w:r>
              <w:t>EDAC</w:t>
            </w:r>
          </w:p>
        </w:tc>
        <w:tc>
          <w:tcPr>
            <w:tcW w:w="3073" w:type="dxa"/>
          </w:tcPr>
          <w:p w14:paraId="51C9B8ED" w14:textId="77777777" w:rsidR="007D71EF" w:rsidRDefault="006A3D23">
            <w:pPr>
              <w:pStyle w:val="Normal1"/>
              <w:widowControl/>
              <w:contextualSpacing w:val="0"/>
            </w:pPr>
            <w:r>
              <w:t>June 2017</w:t>
            </w:r>
          </w:p>
        </w:tc>
      </w:tr>
    </w:tbl>
    <w:p w14:paraId="1559EEE8" w14:textId="77777777" w:rsidR="007D71EF" w:rsidRDefault="007D71EF">
      <w:pPr>
        <w:pStyle w:val="Normal1"/>
      </w:pPr>
    </w:p>
    <w:tbl>
      <w:tblPr>
        <w:tblStyle w:val="a0"/>
        <w:tblW w:w="14840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4381"/>
        <w:gridCol w:w="3690"/>
        <w:gridCol w:w="3073"/>
      </w:tblGrid>
      <w:tr w:rsidR="007D71EF" w14:paraId="42699161" w14:textId="77777777">
        <w:trPr>
          <w:trHeight w:val="380"/>
        </w:trPr>
        <w:tc>
          <w:tcPr>
            <w:tcW w:w="14840" w:type="dxa"/>
            <w:gridSpan w:val="4"/>
          </w:tcPr>
          <w:p w14:paraId="362EF494" w14:textId="77777777" w:rsidR="007D71EF" w:rsidRDefault="006A3D23">
            <w:pPr>
              <w:pStyle w:val="Normal1"/>
              <w:widowControl/>
              <w:contextualSpacing w:val="0"/>
            </w:pPr>
            <w:r>
              <w:rPr>
                <w:b/>
                <w:i/>
              </w:rPr>
              <w:t>Objective 2.2.2:    Increase Recruitment of Diverse Faculty Across the State</w:t>
            </w:r>
          </w:p>
        </w:tc>
      </w:tr>
      <w:tr w:rsidR="007D71EF" w14:paraId="7A2E2B88" w14:textId="77777777">
        <w:trPr>
          <w:trHeight w:val="1400"/>
        </w:trPr>
        <w:tc>
          <w:tcPr>
            <w:tcW w:w="3696" w:type="dxa"/>
          </w:tcPr>
          <w:p w14:paraId="66FB183E" w14:textId="77777777" w:rsidR="007D71EF" w:rsidRDefault="006A3D23">
            <w:pPr>
              <w:pStyle w:val="Normal1"/>
              <w:widowControl/>
              <w:contextualSpacing w:val="0"/>
            </w:pPr>
            <w:r>
              <w:t xml:space="preserve">Expand recruitment activities </w:t>
            </w:r>
          </w:p>
        </w:tc>
        <w:tc>
          <w:tcPr>
            <w:tcW w:w="4381" w:type="dxa"/>
          </w:tcPr>
          <w:p w14:paraId="49DDF2D7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commentRangeStart w:id="7"/>
            <w:r>
              <w:t>Create materials</w:t>
            </w:r>
            <w:commentRangeEnd w:id="7"/>
            <w:r>
              <w:commentReference w:id="7"/>
            </w:r>
            <w:r>
              <w:t xml:space="preserve"> for recruiting diverse faculty and provide at each ASCCC event. </w:t>
            </w:r>
          </w:p>
          <w:p w14:paraId="62BA06A8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commentRangeStart w:id="8"/>
            <w:r>
              <w:t xml:space="preserve">Take a leadership role in the Chancellor’s Office “Grow our Own” endeavor. </w:t>
            </w:r>
            <w:commentRangeEnd w:id="8"/>
            <w:r>
              <w:commentReference w:id="8"/>
            </w:r>
          </w:p>
          <w:p w14:paraId="159E5218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r>
              <w:t xml:space="preserve">Create information </w:t>
            </w:r>
          </w:p>
        </w:tc>
        <w:tc>
          <w:tcPr>
            <w:tcW w:w="3690" w:type="dxa"/>
          </w:tcPr>
          <w:p w14:paraId="75C02E3E" w14:textId="77777777" w:rsidR="007D71EF" w:rsidRDefault="006A3D23">
            <w:pPr>
              <w:pStyle w:val="Normal1"/>
              <w:widowControl/>
              <w:contextualSpacing w:val="0"/>
            </w:pPr>
            <w:r>
              <w:t xml:space="preserve"> Executive Committee and EDAC</w:t>
            </w:r>
          </w:p>
          <w:p w14:paraId="68BB0452" w14:textId="77777777" w:rsidR="007D71EF" w:rsidRDefault="007D71EF">
            <w:pPr>
              <w:pStyle w:val="Normal1"/>
              <w:widowControl/>
              <w:contextualSpacing w:val="0"/>
            </w:pPr>
          </w:p>
        </w:tc>
        <w:tc>
          <w:tcPr>
            <w:tcW w:w="3073" w:type="dxa"/>
          </w:tcPr>
          <w:p w14:paraId="69A1AB1B" w14:textId="77777777" w:rsidR="007D71EF" w:rsidRDefault="006A3D23">
            <w:pPr>
              <w:pStyle w:val="Normal1"/>
              <w:widowControl/>
              <w:contextualSpacing w:val="0"/>
            </w:pPr>
            <w:r>
              <w:t>Fall 2016</w:t>
            </w:r>
          </w:p>
        </w:tc>
      </w:tr>
      <w:tr w:rsidR="007D71EF" w14:paraId="3354B241" w14:textId="77777777">
        <w:trPr>
          <w:trHeight w:val="1400"/>
        </w:trPr>
        <w:tc>
          <w:tcPr>
            <w:tcW w:w="3696" w:type="dxa"/>
          </w:tcPr>
          <w:p w14:paraId="584902DB" w14:textId="77777777" w:rsidR="007D71EF" w:rsidRDefault="006A3D23">
            <w:pPr>
              <w:pStyle w:val="Normal1"/>
              <w:widowControl/>
              <w:contextualSpacing w:val="0"/>
            </w:pPr>
            <w:r>
              <w:t>Create Resources</w:t>
            </w:r>
          </w:p>
        </w:tc>
        <w:tc>
          <w:tcPr>
            <w:tcW w:w="4381" w:type="dxa"/>
          </w:tcPr>
          <w:p w14:paraId="03FF6E8B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r>
              <w:t xml:space="preserve">Develop a handbook for local senates to use in diversity training </w:t>
            </w:r>
          </w:p>
          <w:p w14:paraId="79407BF2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r>
              <w:t>Create a module for the ASCCC Professional Development College.</w:t>
            </w:r>
          </w:p>
          <w:p w14:paraId="39DFEE9F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r>
              <w:t>Create and effective recruitment strategies document for local senates.</w:t>
            </w:r>
          </w:p>
          <w:p w14:paraId="5ED21F67" w14:textId="77777777" w:rsidR="007D71EF" w:rsidRDefault="006A3D23">
            <w:pPr>
              <w:pStyle w:val="Normal1"/>
              <w:widowControl/>
              <w:numPr>
                <w:ilvl w:val="0"/>
                <w:numId w:val="1"/>
              </w:numPr>
              <w:ind w:hanging="360"/>
            </w:pPr>
            <w:commentRangeStart w:id="9"/>
            <w:r>
              <w:t>Develop an “Equity Warrior” handbook.</w:t>
            </w:r>
            <w:commentRangeEnd w:id="9"/>
            <w:r>
              <w:commentReference w:id="9"/>
            </w:r>
            <w:r>
              <w:t xml:space="preserve"> </w:t>
            </w:r>
          </w:p>
        </w:tc>
        <w:tc>
          <w:tcPr>
            <w:tcW w:w="3690" w:type="dxa"/>
          </w:tcPr>
          <w:p w14:paraId="3E0BA3DC" w14:textId="77777777" w:rsidR="007D71EF" w:rsidRDefault="006A3D23">
            <w:pPr>
              <w:pStyle w:val="Normal1"/>
              <w:widowControl/>
              <w:contextualSpacing w:val="0"/>
            </w:pPr>
            <w:r>
              <w:t>EDAC</w:t>
            </w:r>
          </w:p>
        </w:tc>
        <w:tc>
          <w:tcPr>
            <w:tcW w:w="3073" w:type="dxa"/>
          </w:tcPr>
          <w:p w14:paraId="5F9A08E9" w14:textId="77777777" w:rsidR="007D71EF" w:rsidRDefault="006A3D23">
            <w:pPr>
              <w:pStyle w:val="Normal1"/>
              <w:widowControl/>
              <w:contextualSpacing w:val="0"/>
            </w:pPr>
            <w:r>
              <w:t>Spring 2017</w:t>
            </w:r>
          </w:p>
        </w:tc>
      </w:tr>
    </w:tbl>
    <w:p w14:paraId="534738C3" w14:textId="77777777" w:rsidR="007D71EF" w:rsidRDefault="007D71EF">
      <w:pPr>
        <w:pStyle w:val="Normal1"/>
        <w:widowControl/>
      </w:pPr>
    </w:p>
    <w:sectPr w:rsidR="007D71EF">
      <w:headerReference w:type="default" r:id="rId9"/>
      <w:pgSz w:w="15840" w:h="12240"/>
      <w:pgMar w:top="1440" w:right="1440" w:bottom="108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leavon Smith" w:date="2016-05-14T20:56:00Z" w:initials="">
    <w:p w14:paraId="1077B38C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Marne has always stressed that we push past "competency" to proficiency. Here's a quick overview of the difference: https://culturalproficiency.wikispaces.com/+Introduction+to+Cultural+Proficiency</w:t>
      </w:r>
    </w:p>
  </w:comment>
  <w:comment w:id="2" w:author="Cleavon Smith" w:date="2016-05-21T23:15:00Z" w:initials="">
    <w:p w14:paraId="5B2FB602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specific to the focus of event.</w:t>
      </w:r>
    </w:p>
  </w:comment>
  <w:comment w:id="3" w:author="Cleavon Smith" w:date="2016-05-15T04:28:00Z" w:initials="">
    <w:p w14:paraId="506654C0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Who's going to facilitate and how will they be trained?</w:t>
      </w:r>
    </w:p>
    <w:p w14:paraId="00CE246B" w14:textId="77777777" w:rsidR="007D71EF" w:rsidRDefault="007D71EF">
      <w:pPr>
        <w:pStyle w:val="Normal1"/>
      </w:pPr>
    </w:p>
    <w:p w14:paraId="7F57C81A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Just as important to the conversation is some kind of facilitated iterative process through which participants can go that will increase their capacities and support them through their difficulties.</w:t>
      </w:r>
    </w:p>
  </w:comment>
  <w:comment w:id="5" w:author="Cleavon Smith" w:date="2016-05-14T21:07:00Z" w:initials="">
    <w:p w14:paraId="65A4863B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A quick starting point to consider when building these resources: https://docs.google.com/document/d/1No3zItXG_Isj-unoVzsaCxMRwvoELSi3yDn1ScAjr2A/edit?usp=sharing</w:t>
      </w:r>
    </w:p>
  </w:comment>
  <w:comment w:id="6" w:author="Cleavon Smith" w:date="2016-05-15T04:28:00Z" w:initials="">
    <w:p w14:paraId="73BE6351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Or perhaps a training module/course. Here's a model of such a course: https://docs.google.com/document/d/1S3wVFq178ife4FLYtFNuz7IpXH3fq0AEj2mX9OdQ2TU/edit?usp=sharing</w:t>
      </w:r>
    </w:p>
  </w:comment>
  <w:comment w:id="7" w:author="Cleavon Smith" w:date="2016-05-15T04:19:00Z" w:initials="">
    <w:p w14:paraId="69F50B1E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Group of 3-4 EDAC members to read the literature, summarize the key findings and make recommendations for the materials to us for recruiting diverse faculty... (Mario and Elton have volunteered)</w:t>
      </w:r>
    </w:p>
  </w:comment>
  <w:comment w:id="8" w:author="Cleavon Smith" w:date="2016-05-15T04:19:00Z" w:initials="">
    <w:p w14:paraId="78B85EED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Recommend Courtney to serve as a student rep on the AA to MA task force.</w:t>
      </w:r>
    </w:p>
  </w:comment>
  <w:comment w:id="9" w:author="Cleavon Smith" w:date="2016-05-15T04:30:00Z" w:initials="">
    <w:p w14:paraId="541EB2EA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Use USC CUE's "Institutional Agents" framework to shape the handbook.</w:t>
      </w:r>
    </w:p>
    <w:p w14:paraId="38C2AEEC" w14:textId="77777777" w:rsidR="007D71EF" w:rsidRDefault="007D71EF">
      <w:pPr>
        <w:pStyle w:val="Normal1"/>
      </w:pPr>
    </w:p>
    <w:p w14:paraId="1FBD6D80" w14:textId="77777777" w:rsidR="007D71EF" w:rsidRDefault="006A3D23">
      <w:pPr>
        <w:pStyle w:val="Normal1"/>
      </w:pPr>
      <w:r>
        <w:rPr>
          <w:rFonts w:ascii="Arial" w:eastAsia="Arial" w:hAnsi="Arial" w:cs="Arial"/>
          <w:sz w:val="22"/>
          <w:szCs w:val="22"/>
        </w:rPr>
        <w:t>This handbook would be meant to tie back to the "Grow our Own" initiative modeling how we see potential in our students and help them see it in themselves.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77B38C" w15:done="0"/>
  <w15:commentEx w15:paraId="5B2FB602" w15:done="0"/>
  <w15:commentEx w15:paraId="7F57C81A" w15:done="0"/>
  <w15:commentEx w15:paraId="65A4863B" w15:done="0"/>
  <w15:commentEx w15:paraId="73BE6351" w15:done="0"/>
  <w15:commentEx w15:paraId="69F50B1E" w15:done="0"/>
  <w15:commentEx w15:paraId="78B85EED" w15:done="0"/>
  <w15:commentEx w15:paraId="1FBD6D8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BFAE" w14:textId="77777777" w:rsidR="004D6641" w:rsidRDefault="004D6641">
      <w:r>
        <w:separator/>
      </w:r>
    </w:p>
  </w:endnote>
  <w:endnote w:type="continuationSeparator" w:id="0">
    <w:p w14:paraId="7369A6B3" w14:textId="77777777" w:rsidR="004D6641" w:rsidRDefault="004D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8B8B2" w14:textId="77777777" w:rsidR="004D6641" w:rsidRDefault="004D6641">
      <w:r>
        <w:separator/>
      </w:r>
    </w:p>
  </w:footnote>
  <w:footnote w:type="continuationSeparator" w:id="0">
    <w:p w14:paraId="5C149D4A" w14:textId="77777777" w:rsidR="004D6641" w:rsidRDefault="004D6641">
      <w:r>
        <w:continuationSeparator/>
      </w:r>
    </w:p>
  </w:footnote>
  <w:footnote w:id="1">
    <w:p w14:paraId="6FD7EF33" w14:textId="77777777" w:rsidR="007D71EF" w:rsidRDefault="006A3D23">
      <w:pPr>
        <w:pStyle w:val="Normal1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Potential Facilitators for Courageous Conversation:</w:t>
      </w:r>
    </w:p>
    <w:p w14:paraId="4A0059AF" w14:textId="77777777" w:rsidR="007D71EF" w:rsidRDefault="004D6641">
      <w:pPr>
        <w:pStyle w:val="Normal1"/>
      </w:pPr>
      <w:hyperlink r:id="rId1">
        <w:r w:rsidR="006A3D23">
          <w:rPr>
            <w:color w:val="1155CC"/>
            <w:u w:val="single"/>
          </w:rPr>
          <w:t>http://equity.spps.org/courageous_conversations</w:t>
        </w:r>
      </w:hyperlink>
    </w:p>
    <w:p w14:paraId="0A7D669E" w14:textId="77777777" w:rsidR="007D71EF" w:rsidRDefault="007D71EF">
      <w:pPr>
        <w:pStyle w:val="Normal1"/>
      </w:pPr>
    </w:p>
    <w:p w14:paraId="07D67F4A" w14:textId="77777777" w:rsidR="007D71EF" w:rsidRDefault="004D6641">
      <w:pPr>
        <w:pStyle w:val="Normal1"/>
      </w:pPr>
      <w:hyperlink r:id="rId2">
        <w:r w:rsidR="006A3D23">
          <w:rPr>
            <w:color w:val="1155CC"/>
            <w:u w:val="single"/>
          </w:rPr>
          <w:t>http://www.pacificeducationalgroup.com/public/pages/home</w:t>
        </w:r>
      </w:hyperlink>
      <w:r w:rsidR="006A3D23"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C5DF2" w14:textId="6EE69172" w:rsidR="007D71EF" w:rsidRDefault="006A3D23" w:rsidP="00D73B09">
    <w:pPr>
      <w:pStyle w:val="Normal1"/>
      <w:tabs>
        <w:tab w:val="center" w:pos="4680"/>
        <w:tab w:val="right" w:pos="9360"/>
      </w:tabs>
      <w:spacing w:before="720"/>
      <w:jc w:val="center"/>
    </w:pPr>
    <w:r>
      <w:rPr>
        <w:b/>
      </w:rPr>
      <w:t>E</w:t>
    </w:r>
    <w:r w:rsidR="00E45799">
      <w:rPr>
        <w:b/>
      </w:rPr>
      <w:t>quity and Diversity Committee Cultural Competency</w:t>
    </w:r>
    <w:r>
      <w:rPr>
        <w:b/>
      </w:rPr>
      <w:t xml:space="preserve">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A1317"/>
    <w:multiLevelType w:val="multilevel"/>
    <w:tmpl w:val="364A2B9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4CC60265"/>
    <w:multiLevelType w:val="multilevel"/>
    <w:tmpl w:val="FD1E227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sz w:val="20"/>
        <w:szCs w:val="20"/>
      </w:rPr>
    </w:lvl>
  </w:abstractNum>
  <w:abstractNum w:abstractNumId="2">
    <w:nsid w:val="636C6870"/>
    <w:multiLevelType w:val="multilevel"/>
    <w:tmpl w:val="D182F21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71EF"/>
    <w:rsid w:val="000C0EF8"/>
    <w:rsid w:val="0015497F"/>
    <w:rsid w:val="00304A0A"/>
    <w:rsid w:val="00315A98"/>
    <w:rsid w:val="004D6641"/>
    <w:rsid w:val="006A3D23"/>
    <w:rsid w:val="007D71EF"/>
    <w:rsid w:val="00D73B09"/>
    <w:rsid w:val="00E4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502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D23"/>
  </w:style>
  <w:style w:type="paragraph" w:styleId="Footer">
    <w:name w:val="footer"/>
    <w:basedOn w:val="Normal"/>
    <w:link w:val="FooterChar"/>
    <w:uiPriority w:val="99"/>
    <w:unhideWhenUsed/>
    <w:rsid w:val="006A3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quity.spps.org/courageous_conversations" TargetMode="External"/><Relationship Id="rId2" Type="http://schemas.openxmlformats.org/officeDocument/2006/relationships/hyperlink" Target="http://www.pacificeducationalgroup.com/public/page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Adams</cp:lastModifiedBy>
  <cp:revision>2</cp:revision>
  <dcterms:created xsi:type="dcterms:W3CDTF">2017-08-06T21:04:00Z</dcterms:created>
  <dcterms:modified xsi:type="dcterms:W3CDTF">2017-08-06T21:04:00Z</dcterms:modified>
</cp:coreProperties>
</file>