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rsidTr="0035266A">
        <w:trPr>
          <w:tblHeader/>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880E62" w:rsidRPr="00D9657A" w:rsidTr="0035266A">
        <w:tc>
          <w:tcPr>
            <w:tcW w:w="2250" w:type="dxa"/>
            <w:tcBorders>
              <w:top w:val="single" w:sz="8" w:space="0" w:color="auto"/>
              <w:left w:val="single" w:sz="8" w:space="0" w:color="auto"/>
              <w:right w:val="single" w:sz="8" w:space="0" w:color="auto"/>
            </w:tcBorders>
          </w:tcPr>
          <w:p w:rsidR="00880E62" w:rsidRPr="00D9657A" w:rsidRDefault="00CB2682" w:rsidP="002A3F07">
            <w:pPr>
              <w:widowControl w:val="0"/>
              <w:autoSpaceDE w:val="0"/>
              <w:autoSpaceDN w:val="0"/>
              <w:adjustRightInd w:val="0"/>
              <w:spacing w:after="0" w:line="240" w:lineRule="auto"/>
              <w:jc w:val="center"/>
              <w:rPr>
                <w:rFonts w:asciiTheme="majorHAnsi" w:eastAsia="Times New Roman" w:hAnsiTheme="majorHAnsi"/>
              </w:rPr>
            </w:pPr>
            <w:r>
              <w:rPr>
                <w:rFonts w:asciiTheme="majorHAnsi" w:eastAsia="Times New Roman" w:hAnsiTheme="majorHAnsi"/>
              </w:rPr>
              <w:t>March 2014</w:t>
            </w:r>
          </w:p>
        </w:tc>
        <w:tc>
          <w:tcPr>
            <w:tcW w:w="8370" w:type="dxa"/>
            <w:tcBorders>
              <w:top w:val="single" w:sz="8" w:space="0" w:color="auto"/>
              <w:left w:val="single" w:sz="8" w:space="0" w:color="auto"/>
              <w:right w:val="single" w:sz="8" w:space="0" w:color="auto"/>
            </w:tcBorders>
          </w:tcPr>
          <w:p w:rsidR="00880E62" w:rsidRPr="00D9657A" w:rsidRDefault="00880E62" w:rsidP="002A3F07">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Distribution of Process to the field</w:t>
            </w:r>
            <w:r w:rsidRPr="00D9657A">
              <w:rPr>
                <w:rFonts w:asciiTheme="majorHAnsi" w:eastAsia="Times New Roman" w:hAnsiTheme="majorHAnsi"/>
              </w:rPr>
              <w:t>.  The Senate Office sends requests for proposals to local senate presidents, college presidents, chief instructional officers, curriculum chairs, human resources officers, and discipline professional organizations informing them of the opportunity to propose a change to the Disciplines List.  The material contains information on the process and a timeline for submission.</w:t>
            </w:r>
          </w:p>
          <w:p w:rsidR="00880E62" w:rsidRPr="00D9657A" w:rsidRDefault="00880E62" w:rsidP="002A3F07">
            <w:pPr>
              <w:widowControl w:val="0"/>
              <w:numPr>
                <w:ilvl w:val="0"/>
                <w:numId w:val="2"/>
              </w:num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Rostrum </w:t>
            </w:r>
            <w:r w:rsidRPr="00D9657A">
              <w:rPr>
                <w:rFonts w:asciiTheme="majorHAnsi" w:eastAsia="Times New Roman" w:hAnsiTheme="majorHAnsi"/>
              </w:rPr>
              <w:t>announcement and description of process</w:t>
            </w:r>
          </w:p>
          <w:p w:rsidR="00880E62" w:rsidRPr="00D9657A" w:rsidRDefault="00880E62" w:rsidP="002A3F07">
            <w:pPr>
              <w:widowControl w:val="0"/>
              <w:numPr>
                <w:ilvl w:val="0"/>
                <w:numId w:val="2"/>
              </w:num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Website </w:t>
            </w:r>
            <w:r w:rsidRPr="00D9657A">
              <w:rPr>
                <w:rFonts w:asciiTheme="majorHAnsi" w:eastAsia="Times New Roman" w:hAnsiTheme="majorHAnsi"/>
              </w:rPr>
              <w:t>posting of announcement and description of process</w:t>
            </w:r>
          </w:p>
          <w:p w:rsidR="00880E62" w:rsidRPr="00D9657A" w:rsidRDefault="00880E62" w:rsidP="002A3F07">
            <w:pPr>
              <w:overflowPunct w:val="0"/>
              <w:autoSpaceDE w:val="0"/>
              <w:autoSpaceDN w:val="0"/>
              <w:adjustRightInd w:val="0"/>
              <w:spacing w:after="0" w:line="240" w:lineRule="auto"/>
              <w:textAlignment w:val="baseline"/>
              <w:rPr>
                <w:rFonts w:asciiTheme="majorHAnsi" w:eastAsia="Times New Roman" w:hAnsiTheme="majorHAnsi"/>
                <w:b/>
              </w:rPr>
            </w:pPr>
          </w:p>
        </w:tc>
      </w:tr>
      <w:tr w:rsidR="00880E62" w:rsidRPr="00D9657A" w:rsidTr="0035266A">
        <w:trPr>
          <w:trHeight w:val="5920"/>
        </w:trPr>
        <w:tc>
          <w:tcPr>
            <w:tcW w:w="2250" w:type="dxa"/>
            <w:tcBorders>
              <w:left w:val="single" w:sz="8" w:space="0" w:color="000000"/>
              <w:bottom w:val="single" w:sz="8" w:space="0" w:color="000000"/>
              <w:right w:val="single" w:sz="8" w:space="0" w:color="000000"/>
            </w:tcBorders>
          </w:tcPr>
          <w:p w:rsidR="00880E62" w:rsidRPr="00D9657A" w:rsidRDefault="00880E62" w:rsidP="002A3F07">
            <w:pPr>
              <w:widowControl w:val="0"/>
              <w:autoSpaceDE w:val="0"/>
              <w:autoSpaceDN w:val="0"/>
              <w:adjustRightInd w:val="0"/>
              <w:spacing w:after="0" w:line="240" w:lineRule="auto"/>
              <w:jc w:val="center"/>
              <w:rPr>
                <w:rFonts w:asciiTheme="majorHAnsi" w:eastAsia="Times New Roman" w:hAnsiTheme="majorHAnsi"/>
              </w:rPr>
            </w:pPr>
          </w:p>
        </w:tc>
        <w:tc>
          <w:tcPr>
            <w:tcW w:w="8370" w:type="dxa"/>
            <w:tcBorders>
              <w:left w:val="single" w:sz="8" w:space="0" w:color="000000"/>
              <w:bottom w:val="single" w:sz="8" w:space="0" w:color="000000"/>
              <w:right w:val="single" w:sz="8" w:space="0" w:color="000000"/>
            </w:tcBorders>
          </w:tcPr>
          <w:p w:rsidR="00880E62" w:rsidRPr="00D9657A" w:rsidRDefault="00880E62" w:rsidP="00CB2682">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rsidR="00880E62" w:rsidRPr="00D9657A" w:rsidRDefault="00880E62" w:rsidP="002A3F07">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rsidR="00880E62" w:rsidRPr="00D9657A" w:rsidRDefault="00880E62" w:rsidP="002A3F07">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rsidR="00880E62" w:rsidRPr="00D9657A" w:rsidRDefault="00880E62" w:rsidP="002A3F07">
            <w:pPr>
              <w:overflowPunct w:val="0"/>
              <w:autoSpaceDE w:val="0"/>
              <w:autoSpaceDN w:val="0"/>
              <w:adjustRightInd w:val="0"/>
              <w:spacing w:after="0" w:line="240" w:lineRule="auto"/>
              <w:textAlignment w:val="baseline"/>
              <w:rPr>
                <w:rFonts w:asciiTheme="majorHAnsi" w:eastAsia="Times New Roman" w:hAnsiTheme="majorHAnsi"/>
                <w:b/>
              </w:rPr>
            </w:pPr>
          </w:p>
          <w:p w:rsidR="00880E62" w:rsidRPr="00D9657A" w:rsidRDefault="00880E62" w:rsidP="002A3F07">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rsidR="00880E62" w:rsidRPr="00D9657A" w:rsidRDefault="00880E62" w:rsidP="002A3F07">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rsidR="00880E62" w:rsidRPr="00D9657A" w:rsidRDefault="00880E62" w:rsidP="002A3F07">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rsidR="00880E62" w:rsidRPr="00D9657A" w:rsidRDefault="00880E62" w:rsidP="002A3F07">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rsidR="00880E62" w:rsidRPr="00D9657A" w:rsidRDefault="00880E62" w:rsidP="002A3F07">
            <w:pPr>
              <w:widowControl w:val="0"/>
              <w:autoSpaceDE w:val="0"/>
              <w:autoSpaceDN w:val="0"/>
              <w:adjustRightInd w:val="0"/>
              <w:spacing w:after="0" w:line="240" w:lineRule="auto"/>
              <w:rPr>
                <w:rFonts w:asciiTheme="majorHAnsi" w:eastAsia="Times New Roman" w:hAnsiTheme="majorHAnsi"/>
                <w:b/>
                <w:u w:val="single"/>
              </w:rPr>
            </w:pPr>
          </w:p>
          <w:p w:rsidR="00880E62" w:rsidRPr="00D9657A" w:rsidRDefault="00880E62" w:rsidP="002A3F07">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rsidR="00880E62" w:rsidRPr="00D9657A" w:rsidRDefault="00880E62" w:rsidP="002A3F07">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rsidR="00880E62" w:rsidRPr="00D9657A" w:rsidRDefault="00880E62" w:rsidP="002A3F07">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rsidR="00880E62" w:rsidRPr="00D9657A" w:rsidRDefault="00880E62" w:rsidP="002A3F07">
            <w:pPr>
              <w:pStyle w:val="ListParagraph"/>
              <w:numPr>
                <w:ilvl w:val="2"/>
                <w:numId w:val="1"/>
              </w:numPr>
              <w:rPr>
                <w:rFonts w:asciiTheme="majorHAnsi" w:hAnsiTheme="majorHAnsi"/>
              </w:rPr>
            </w:pPr>
            <w:r w:rsidRPr="00D9657A">
              <w:rPr>
                <w:rFonts w:asciiTheme="majorHAnsi" w:hAnsiTheme="majorHAnsi"/>
              </w:rPr>
              <w:t xml:space="preserve">Minimum of three degrees </w:t>
            </w:r>
          </w:p>
          <w:p w:rsidR="00880E62" w:rsidRPr="00D9657A" w:rsidRDefault="00880E62" w:rsidP="002A3F07">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rsidR="00880E62" w:rsidRPr="00D9657A" w:rsidRDefault="00880E62" w:rsidP="002A3F07">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masters degrees</w:t>
            </w:r>
          </w:p>
          <w:p w:rsidR="00880E62" w:rsidRPr="00D9657A" w:rsidRDefault="00880E62" w:rsidP="002A3F07">
            <w:pPr>
              <w:pStyle w:val="ListParagraph"/>
              <w:numPr>
                <w:ilvl w:val="2"/>
                <w:numId w:val="1"/>
              </w:numPr>
              <w:rPr>
                <w:rFonts w:asciiTheme="majorHAnsi" w:hAnsiTheme="majorHAnsi"/>
              </w:rPr>
            </w:pPr>
            <w:r w:rsidRPr="00D9657A">
              <w:rPr>
                <w:rFonts w:asciiTheme="majorHAnsi" w:hAnsiTheme="majorHAnsi"/>
              </w:rPr>
              <w:t>Disciplines in the Non-masters List requires evidence of the availability of degree, certification, and/or professional experience, if necessary</w:t>
            </w:r>
          </w:p>
          <w:p w:rsidR="00880E62" w:rsidRPr="005C1634" w:rsidRDefault="00880E62" w:rsidP="00880E62">
            <w:pPr>
              <w:pStyle w:val="ListParagraph"/>
              <w:numPr>
                <w:ilvl w:val="0"/>
                <w:numId w:val="15"/>
              </w:numPr>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rsidR="00880E62" w:rsidRPr="00D9657A" w:rsidRDefault="00880E62" w:rsidP="005F7078">
            <w:pPr>
              <w:pStyle w:val="ListParagraph"/>
              <w:numPr>
                <w:ilvl w:val="0"/>
                <w:numId w:val="11"/>
              </w:numPr>
              <w:ind w:left="1800"/>
              <w:rPr>
                <w:rFonts w:asciiTheme="majorHAnsi" w:eastAsia="Times New Roman" w:hAnsiTheme="majorHAnsi"/>
                <w:b/>
                <w:u w:val="single"/>
              </w:rPr>
            </w:pPr>
            <w:r w:rsidRPr="00D9657A">
              <w:rPr>
                <w:rFonts w:asciiTheme="majorHAnsi" w:hAnsiTheme="majorHAnsi"/>
              </w:rPr>
              <w:t xml:space="preserve">Balance of need across the state </w:t>
            </w:r>
          </w:p>
        </w:tc>
      </w:tr>
      <w:tr w:rsidR="0035266A" w:rsidRPr="00D9657A" w:rsidTr="0035266A">
        <w:tc>
          <w:tcPr>
            <w:tcW w:w="2250" w:type="dxa"/>
            <w:tcBorders>
              <w:top w:val="single" w:sz="8" w:space="0" w:color="000000"/>
              <w:left w:val="single" w:sz="7" w:space="0" w:color="000000"/>
              <w:bottom w:val="single" w:sz="7" w:space="0" w:color="000000"/>
              <w:right w:val="single" w:sz="7" w:space="0" w:color="000000"/>
            </w:tcBorders>
            <w:shd w:val="clear" w:color="auto" w:fill="66FFFF"/>
          </w:tcPr>
          <w:p w:rsidR="0035266A" w:rsidRPr="00D9657A" w:rsidRDefault="0035266A" w:rsidP="0035266A">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7" w:space="0" w:color="000000"/>
              <w:bottom w:val="single" w:sz="7" w:space="0" w:color="000000"/>
              <w:right w:val="single" w:sz="7" w:space="0" w:color="000000"/>
            </w:tcBorders>
            <w:shd w:val="clear" w:color="auto" w:fill="66FFFF"/>
          </w:tcPr>
          <w:p w:rsidR="0035266A" w:rsidRPr="00D9657A" w:rsidRDefault="0035266A" w:rsidP="0035266A">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35266A" w:rsidRPr="00D9657A" w:rsidTr="0035266A">
        <w:tc>
          <w:tcPr>
            <w:tcW w:w="2250" w:type="dxa"/>
            <w:tcBorders>
              <w:top w:val="single" w:sz="8" w:space="0" w:color="000000"/>
              <w:left w:val="single" w:sz="7" w:space="0" w:color="000000"/>
              <w:bottom w:val="single" w:sz="7" w:space="0" w:color="000000"/>
              <w:right w:val="single" w:sz="7" w:space="0" w:color="000000"/>
            </w:tcBorders>
          </w:tcPr>
          <w:p w:rsidR="0035266A" w:rsidRPr="00D9657A" w:rsidRDefault="0035266A" w:rsidP="0035266A">
            <w:pPr>
              <w:widowControl w:val="0"/>
              <w:autoSpaceDE w:val="0"/>
              <w:autoSpaceDN w:val="0"/>
              <w:adjustRightInd w:val="0"/>
              <w:spacing w:after="0" w:line="240" w:lineRule="auto"/>
              <w:jc w:val="center"/>
              <w:rPr>
                <w:rFonts w:asciiTheme="majorHAnsi" w:eastAsia="Times New Roman" w:hAnsiTheme="majorHAnsi"/>
              </w:rPr>
            </w:pPr>
          </w:p>
        </w:tc>
        <w:tc>
          <w:tcPr>
            <w:tcW w:w="8370" w:type="dxa"/>
            <w:tcBorders>
              <w:top w:val="single" w:sz="8" w:space="0" w:color="000000"/>
              <w:left w:val="single" w:sz="7" w:space="0" w:color="000000"/>
              <w:bottom w:val="single" w:sz="7" w:space="0" w:color="000000"/>
              <w:right w:val="single" w:sz="7" w:space="0" w:color="000000"/>
            </w:tcBorders>
          </w:tcPr>
          <w:p w:rsidR="0035266A" w:rsidRDefault="0035266A" w:rsidP="0035266A">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rsidR="0035266A" w:rsidRPr="00D9657A" w:rsidRDefault="0035266A" w:rsidP="0035266A">
            <w:pPr>
              <w:pStyle w:val="ListParagraph"/>
              <w:numPr>
                <w:ilvl w:val="1"/>
                <w:numId w:val="1"/>
              </w:numPr>
              <w:rPr>
                <w:rFonts w:asciiTheme="majorHAnsi" w:hAnsiTheme="majorHAnsi"/>
              </w:rPr>
            </w:pPr>
            <w:r w:rsidRPr="00D9657A">
              <w:rPr>
                <w:rFonts w:asciiTheme="majorHAnsi" w:hAnsiTheme="majorHAnsi"/>
              </w:rPr>
              <w:t>Impact of Proposal</w:t>
            </w:r>
          </w:p>
          <w:p w:rsidR="0035266A" w:rsidRDefault="0035266A" w:rsidP="0035266A">
            <w:pPr>
              <w:pStyle w:val="ListParagraph"/>
              <w:numPr>
                <w:ilvl w:val="2"/>
                <w:numId w:val="1"/>
              </w:numPr>
              <w:rPr>
                <w:rFonts w:asciiTheme="majorHAnsi" w:hAnsiTheme="majorHAnsi"/>
              </w:rPr>
            </w:pPr>
            <w:r w:rsidRPr="00D9657A">
              <w:rPr>
                <w:rFonts w:asciiTheme="majorHAnsi" w:hAnsiTheme="majorHAnsi"/>
              </w:rPr>
              <w:t>Impact across the state</w:t>
            </w:r>
          </w:p>
          <w:p w:rsidR="0035266A" w:rsidRPr="00D9657A" w:rsidRDefault="0035266A" w:rsidP="0035266A">
            <w:pPr>
              <w:pStyle w:val="ListParagraph"/>
              <w:numPr>
                <w:ilvl w:val="2"/>
                <w:numId w:val="1"/>
              </w:numPr>
              <w:rPr>
                <w:rFonts w:asciiTheme="majorHAnsi" w:hAnsiTheme="majorHAnsi"/>
              </w:rPr>
            </w:pPr>
            <w:r w:rsidRPr="00D9657A">
              <w:rPr>
                <w:rFonts w:asciiTheme="majorHAnsi" w:hAnsiTheme="majorHAnsi"/>
              </w:rPr>
              <w:t>List the pro and con arguments</w:t>
            </w:r>
          </w:p>
          <w:p w:rsidR="0035266A" w:rsidRPr="00D9657A" w:rsidRDefault="0035266A" w:rsidP="0035266A">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rsidR="0035266A" w:rsidRPr="00D9657A" w:rsidRDefault="0035266A" w:rsidP="0035266A">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rsidR="0035266A" w:rsidRPr="00D9657A" w:rsidRDefault="0035266A" w:rsidP="0035266A">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rsidR="0035266A" w:rsidRPr="00D9657A" w:rsidRDefault="0035266A" w:rsidP="0035266A">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rsidR="0035266A" w:rsidRPr="00D9657A" w:rsidRDefault="0035266A" w:rsidP="0035266A">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rsidR="0035266A" w:rsidRPr="00D9657A" w:rsidRDefault="0035266A" w:rsidP="0035266A">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rsidR="0035266A" w:rsidRPr="00D9657A" w:rsidRDefault="0035266A" w:rsidP="0035266A">
            <w:pPr>
              <w:widowControl w:val="0"/>
              <w:numPr>
                <w:ilvl w:val="0"/>
                <w:numId w:val="4"/>
              </w:numPr>
              <w:autoSpaceDE w:val="0"/>
              <w:autoSpaceDN w:val="0"/>
              <w:adjustRightInd w:val="0"/>
              <w:spacing w:after="0" w:line="240" w:lineRule="auto"/>
              <w:rPr>
                <w:rFonts w:asciiTheme="majorHAnsi" w:eastAsia="Times New Roman" w:hAnsiTheme="majorHAnsi"/>
              </w:rPr>
            </w:pPr>
            <w:proofErr w:type="gramStart"/>
            <w:r w:rsidRPr="00D9657A">
              <w:rPr>
                <w:rFonts w:asciiTheme="majorHAnsi" w:eastAsia="Times New Roman" w:hAnsiTheme="majorHAnsi"/>
              </w:rPr>
              <w:t>is</w:t>
            </w:r>
            <w:proofErr w:type="gramEnd"/>
            <w:r w:rsidRPr="00D9657A">
              <w:rPr>
                <w:rFonts w:asciiTheme="majorHAnsi" w:eastAsia="Times New Roman" w:hAnsiTheme="majorHAnsi"/>
              </w:rPr>
              <w:t xml:space="preserve"> not being submitted to deal with a district-specific problem that does not apply broadly.  </w:t>
            </w:r>
          </w:p>
          <w:p w:rsidR="0035266A" w:rsidRPr="00D9657A" w:rsidRDefault="0035266A" w:rsidP="0035266A">
            <w:pPr>
              <w:widowControl w:val="0"/>
              <w:autoSpaceDE w:val="0"/>
              <w:autoSpaceDN w:val="0"/>
              <w:adjustRightInd w:val="0"/>
              <w:spacing w:after="0" w:line="240" w:lineRule="auto"/>
              <w:ind w:left="360"/>
              <w:rPr>
                <w:rFonts w:asciiTheme="majorHAnsi" w:eastAsia="Times New Roman" w:hAnsiTheme="majorHAnsi"/>
              </w:rPr>
            </w:pPr>
          </w:p>
          <w:p w:rsidR="0035266A" w:rsidRPr="00D9657A" w:rsidRDefault="0035266A" w:rsidP="0035266A">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rsidR="0035266A" w:rsidRPr="00D9657A" w:rsidRDefault="0035266A" w:rsidP="0035266A">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rsidR="0035266A" w:rsidRPr="00D9657A" w:rsidRDefault="0035266A" w:rsidP="0035266A">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maker may withdraw a proposal.</w:t>
            </w:r>
          </w:p>
        </w:tc>
      </w:tr>
      <w:tr w:rsidR="0035266A" w:rsidRPr="00D9657A" w:rsidTr="0035266A">
        <w:tc>
          <w:tcPr>
            <w:tcW w:w="2250" w:type="dxa"/>
            <w:tcBorders>
              <w:top w:val="single" w:sz="8" w:space="0" w:color="000000"/>
              <w:left w:val="single" w:sz="7" w:space="0" w:color="000000"/>
              <w:bottom w:val="single" w:sz="7" w:space="0" w:color="000000"/>
              <w:right w:val="single" w:sz="7" w:space="0" w:color="000000"/>
            </w:tcBorders>
          </w:tcPr>
          <w:p w:rsidR="0035266A" w:rsidRPr="00D9657A" w:rsidRDefault="0035266A" w:rsidP="0035266A">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April </w:t>
            </w:r>
            <w:r>
              <w:rPr>
                <w:rFonts w:asciiTheme="majorHAnsi" w:eastAsia="Times New Roman" w:hAnsiTheme="majorHAnsi"/>
              </w:rPr>
              <w:t xml:space="preserve">2014 </w:t>
            </w:r>
          </w:p>
        </w:tc>
        <w:tc>
          <w:tcPr>
            <w:tcW w:w="8370" w:type="dxa"/>
            <w:tcBorders>
              <w:top w:val="single" w:sz="8" w:space="0" w:color="000000"/>
              <w:left w:val="single" w:sz="7" w:space="0" w:color="000000"/>
              <w:bottom w:val="single" w:sz="7" w:space="0" w:color="000000"/>
              <w:right w:val="single" w:sz="7" w:space="0" w:color="000000"/>
            </w:tcBorders>
          </w:tcPr>
          <w:p w:rsidR="0035266A" w:rsidRPr="00D9657A" w:rsidRDefault="0035266A" w:rsidP="0035266A">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rsidR="0035266A" w:rsidRPr="00D9657A" w:rsidRDefault="0035266A" w:rsidP="0035266A">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Executive Committee reviews potential </w:t>
            </w:r>
          </w:p>
          <w:p w:rsidR="0035266A" w:rsidRPr="00D9657A" w:rsidRDefault="0035266A" w:rsidP="0035266A">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rsidR="0035266A" w:rsidRPr="00D9657A" w:rsidRDefault="0035266A" w:rsidP="0035266A">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rsidR="0035266A" w:rsidRPr="00D9657A" w:rsidRDefault="0035266A" w:rsidP="0035266A">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proofErr w:type="gramStart"/>
            <w:r>
              <w:rPr>
                <w:rFonts w:asciiTheme="majorHAnsi" w:hAnsiTheme="majorHAnsi"/>
                <w:u w:val="single"/>
              </w:rPr>
              <w:t>A</w:t>
            </w:r>
            <w:proofErr w:type="gramEnd"/>
            <w:r>
              <w:rPr>
                <w:rFonts w:asciiTheme="majorHAnsi" w:hAnsiTheme="majorHAnsi"/>
                <w:u w:val="single"/>
              </w:rPr>
              <w:t xml:space="preserve">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[Note:  At a minimum proposals must be vetted at two of the statewide hearings]</w:t>
            </w:r>
          </w:p>
          <w:p w:rsidR="0035266A" w:rsidRPr="00D9657A" w:rsidRDefault="0035266A" w:rsidP="0035266A">
            <w:pPr>
              <w:widowControl w:val="0"/>
              <w:autoSpaceDE w:val="0"/>
              <w:autoSpaceDN w:val="0"/>
              <w:adjustRightInd w:val="0"/>
              <w:spacing w:after="0" w:line="240" w:lineRule="auto"/>
              <w:ind w:left="360"/>
              <w:rPr>
                <w:rFonts w:asciiTheme="majorHAnsi" w:eastAsia="Times New Roman" w:hAnsiTheme="majorHAnsi"/>
              </w:rPr>
            </w:pPr>
          </w:p>
        </w:tc>
      </w:tr>
      <w:tr w:rsidR="0035266A" w:rsidRPr="00D9657A" w:rsidTr="0035266A">
        <w:tc>
          <w:tcPr>
            <w:tcW w:w="2250" w:type="dxa"/>
            <w:tcBorders>
              <w:top w:val="single" w:sz="7" w:space="0" w:color="000000"/>
              <w:left w:val="single" w:sz="7" w:space="0" w:color="000000"/>
              <w:bottom w:val="single" w:sz="7" w:space="0" w:color="000000"/>
              <w:right w:val="single" w:sz="7" w:space="0" w:color="000000"/>
            </w:tcBorders>
          </w:tcPr>
          <w:p w:rsidR="0035266A" w:rsidRPr="00D9657A" w:rsidRDefault="0035266A" w:rsidP="0035266A">
            <w:pPr>
              <w:jc w:val="center"/>
              <w:rPr>
                <w:rFonts w:asciiTheme="majorHAnsi" w:eastAsia="Times New Roman" w:hAnsiTheme="majorHAnsi"/>
              </w:rPr>
            </w:pPr>
            <w:r w:rsidRPr="00D9657A">
              <w:rPr>
                <w:rFonts w:asciiTheme="majorHAnsi" w:hAnsiTheme="majorHAnsi"/>
              </w:rPr>
              <w:t xml:space="preserve">September/October  </w:t>
            </w:r>
            <w:r>
              <w:rPr>
                <w:rFonts w:asciiTheme="majorHAnsi" w:hAnsiTheme="majorHAnsi"/>
              </w:rPr>
              <w:t>2014</w:t>
            </w:r>
          </w:p>
        </w:tc>
        <w:tc>
          <w:tcPr>
            <w:tcW w:w="8370" w:type="dxa"/>
            <w:tcBorders>
              <w:top w:val="single" w:sz="7" w:space="0" w:color="000000"/>
              <w:left w:val="single" w:sz="7" w:space="0" w:color="000000"/>
              <w:bottom w:val="single" w:sz="7" w:space="0" w:color="000000"/>
              <w:right w:val="single" w:sz="7" w:space="0" w:color="000000"/>
            </w:tcBorders>
          </w:tcPr>
          <w:p w:rsidR="0035266A" w:rsidRPr="00D9657A" w:rsidRDefault="0035266A" w:rsidP="0035266A">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rsidR="0035266A" w:rsidRPr="00D9657A" w:rsidRDefault="0035266A" w:rsidP="0035266A">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rsidR="0035266A" w:rsidRPr="00D9657A" w:rsidRDefault="0035266A" w:rsidP="0035266A">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rsidR="0035266A" w:rsidRPr="00D9657A" w:rsidRDefault="0035266A" w:rsidP="0035266A">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rsidR="0035266A" w:rsidRPr="00D9657A" w:rsidRDefault="0035266A" w:rsidP="0035266A">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rsidR="0035266A" w:rsidRPr="00D9657A" w:rsidRDefault="0035266A" w:rsidP="0035266A">
            <w:pPr>
              <w:keepNext/>
              <w:widowControl w:val="0"/>
              <w:numPr>
                <w:ilvl w:val="0"/>
                <w:numId w:val="6"/>
              </w:numPr>
              <w:autoSpaceDE w:val="0"/>
              <w:autoSpaceDN w:val="0"/>
              <w:adjustRightInd w:val="0"/>
              <w:spacing w:after="0" w:line="240" w:lineRule="auto"/>
              <w:outlineLvl w:val="0"/>
              <w:rPr>
                <w:rFonts w:asciiTheme="majorHAnsi" w:eastAsia="Times"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tc>
      </w:tr>
    </w:tbl>
    <w:p w:rsidR="0035266A" w:rsidRDefault="0035266A">
      <w:r>
        <w:br w:type="page"/>
      </w:r>
    </w:p>
    <w:tbl>
      <w:tblPr>
        <w:tblpPr w:leftFromText="180" w:rightFromText="180" w:vertAnchor="text" w:horzAnchor="margin" w:tblpXSpec="center" w:tblpY="87"/>
        <w:tblW w:w="10620" w:type="dxa"/>
        <w:tblCellMar>
          <w:left w:w="120" w:type="dxa"/>
          <w:right w:w="120" w:type="dxa"/>
        </w:tblCellMar>
        <w:tblLook w:val="0000" w:firstRow="0" w:lastRow="0" w:firstColumn="0" w:lastColumn="0" w:noHBand="0" w:noVBand="0"/>
      </w:tblPr>
      <w:tblGrid>
        <w:gridCol w:w="2250"/>
        <w:gridCol w:w="8370"/>
      </w:tblGrid>
      <w:tr w:rsidR="0035266A" w:rsidRPr="00D9657A" w:rsidTr="0035266A">
        <w:tc>
          <w:tcPr>
            <w:tcW w:w="2250" w:type="dxa"/>
            <w:tcBorders>
              <w:top w:val="single" w:sz="7" w:space="0" w:color="000000"/>
              <w:left w:val="single" w:sz="7" w:space="0" w:color="000000"/>
              <w:bottom w:val="single" w:sz="7" w:space="0" w:color="000000"/>
              <w:right w:val="single" w:sz="7" w:space="0" w:color="000000"/>
            </w:tcBorders>
            <w:shd w:val="clear" w:color="auto" w:fill="66FFFF"/>
          </w:tcPr>
          <w:p w:rsidR="0035266A" w:rsidRPr="00D9657A" w:rsidRDefault="0035266A" w:rsidP="0035266A">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7" w:space="0" w:color="000000"/>
              <w:left w:val="single" w:sz="7" w:space="0" w:color="000000"/>
              <w:bottom w:val="single" w:sz="7" w:space="0" w:color="000000"/>
              <w:right w:val="single" w:sz="7" w:space="0" w:color="000000"/>
            </w:tcBorders>
            <w:shd w:val="clear" w:color="auto" w:fill="66FFFF"/>
          </w:tcPr>
          <w:p w:rsidR="0035266A" w:rsidRPr="00D9657A" w:rsidRDefault="0035266A" w:rsidP="0035266A">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widowControl w:val="0"/>
              <w:autoSpaceDE w:val="0"/>
              <w:autoSpaceDN w:val="0"/>
              <w:adjustRightInd w:val="0"/>
              <w:spacing w:after="0" w:line="240" w:lineRule="auto"/>
              <w:jc w:val="center"/>
              <w:rPr>
                <w:rFonts w:asciiTheme="majorHAnsi" w:hAnsiTheme="majorHAnsi"/>
                <w:b/>
              </w:rPr>
            </w:pPr>
            <w:r w:rsidRPr="00D9657A">
              <w:rPr>
                <w:rFonts w:asciiTheme="majorHAnsi" w:hAnsiTheme="majorHAnsi"/>
                <w:b/>
              </w:rPr>
              <w:t>September 30</w:t>
            </w:r>
          </w:p>
          <w:p w:rsidR="00880E62" w:rsidRPr="00D9657A" w:rsidRDefault="0035266A" w:rsidP="002A3F07">
            <w:pPr>
              <w:widowControl w:val="0"/>
              <w:autoSpaceDE w:val="0"/>
              <w:autoSpaceDN w:val="0"/>
              <w:adjustRightInd w:val="0"/>
              <w:spacing w:after="0" w:line="240" w:lineRule="auto"/>
              <w:jc w:val="center"/>
              <w:rPr>
                <w:rFonts w:asciiTheme="majorHAnsi" w:eastAsia="Times New Roman" w:hAnsiTheme="majorHAnsi"/>
              </w:rPr>
            </w:pPr>
            <w:r>
              <w:rPr>
                <w:rFonts w:asciiTheme="majorHAnsi" w:hAnsiTheme="majorHAnsi"/>
              </w:rPr>
              <w:t>2014</w:t>
            </w: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keepNext/>
              <w:widowControl w:val="0"/>
              <w:numPr>
                <w:ilvl w:val="0"/>
                <w:numId w:val="6"/>
              </w:numPr>
              <w:autoSpaceDE w:val="0"/>
              <w:autoSpaceDN w:val="0"/>
              <w:adjustRightInd w:val="0"/>
              <w:spacing w:after="0" w:line="240" w:lineRule="auto"/>
              <w:outlineLvl w:val="0"/>
              <w:rPr>
                <w:rFonts w:asciiTheme="majorHAnsi" w:eastAsia="Times" w:hAnsiTheme="majorHAnsi"/>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Review cycle.  </w:t>
            </w:r>
            <w:r w:rsidRPr="00D9657A">
              <w:rPr>
                <w:rFonts w:asciiTheme="majorHAnsi" w:hAnsiTheme="majorHAnsi"/>
              </w:rPr>
              <w:br/>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September/</w:t>
            </w:r>
          </w:p>
          <w:p w:rsidR="00880E62" w:rsidRPr="00D9657A" w:rsidRDefault="00880E62" w:rsidP="002A3F07">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October</w:t>
            </w:r>
          </w:p>
          <w:p w:rsidR="00880E62" w:rsidRPr="00D9657A" w:rsidRDefault="0035266A" w:rsidP="002A3F07">
            <w:pPr>
              <w:widowControl w:val="0"/>
              <w:autoSpaceDE w:val="0"/>
              <w:autoSpaceDN w:val="0"/>
              <w:adjustRightInd w:val="0"/>
              <w:spacing w:after="0" w:line="240" w:lineRule="auto"/>
              <w:jc w:val="center"/>
              <w:rPr>
                <w:rFonts w:asciiTheme="majorHAnsi" w:eastAsia="Times New Roman" w:hAnsiTheme="majorHAnsi"/>
              </w:rPr>
            </w:pPr>
            <w:r>
              <w:rPr>
                <w:rFonts w:asciiTheme="majorHAnsi" w:eastAsia="Times New Roman" w:hAnsiTheme="majorHAnsi"/>
              </w:rPr>
              <w:t>2014</w:t>
            </w: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rsidR="00880E62" w:rsidRPr="00D9657A" w:rsidRDefault="00880E62" w:rsidP="002A3F07">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rsidR="00880E62" w:rsidRPr="00D9657A" w:rsidRDefault="00880E62" w:rsidP="002A3F07">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rsidR="00880E62" w:rsidRPr="00D9657A" w:rsidRDefault="00880E62" w:rsidP="002A3F07">
            <w:pPr>
              <w:widowControl w:val="0"/>
              <w:autoSpaceDE w:val="0"/>
              <w:autoSpaceDN w:val="0"/>
              <w:adjustRightInd w:val="0"/>
              <w:spacing w:after="0" w:line="240" w:lineRule="auto"/>
              <w:ind w:left="360"/>
              <w:rPr>
                <w:rFonts w:asciiTheme="majorHAnsi" w:eastAsia="Times New Roman" w:hAnsiTheme="majorHAnsi"/>
                <w:b/>
              </w:rPr>
            </w:pP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November </w:t>
            </w:r>
          </w:p>
          <w:p w:rsidR="00880E62" w:rsidRPr="00D9657A" w:rsidRDefault="0035266A" w:rsidP="002A3F07">
            <w:pPr>
              <w:widowControl w:val="0"/>
              <w:autoSpaceDE w:val="0"/>
              <w:autoSpaceDN w:val="0"/>
              <w:adjustRightInd w:val="0"/>
              <w:spacing w:after="0" w:line="240" w:lineRule="auto"/>
              <w:jc w:val="center"/>
              <w:rPr>
                <w:rFonts w:asciiTheme="majorHAnsi" w:eastAsia="Times New Roman" w:hAnsiTheme="majorHAnsi"/>
              </w:rPr>
            </w:pPr>
            <w:r>
              <w:rPr>
                <w:rFonts w:asciiTheme="majorHAnsi" w:eastAsia="Times New Roman" w:hAnsiTheme="majorHAnsi"/>
              </w:rPr>
              <w:t>2014</w:t>
            </w: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Pr="00D9657A">
              <w:rPr>
                <w:rFonts w:asciiTheme="majorHAnsi" w:eastAsia="Times New Roman" w:hAnsiTheme="majorHAnsi"/>
                <w:u w:val="single"/>
              </w:rPr>
              <w:t xml:space="preserve">Hearing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[Note:  At a minimum proposals must be vetted at two of the statewide hearings]</w:t>
            </w:r>
          </w:p>
          <w:p w:rsidR="00880E62" w:rsidRPr="00D9657A" w:rsidRDefault="00880E62" w:rsidP="002A3F07">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Article on proposals and process</w:t>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35266A">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January/February</w:t>
            </w:r>
            <w:r w:rsidRPr="00D9657A">
              <w:rPr>
                <w:rFonts w:asciiTheme="majorHAnsi" w:eastAsia="Times New Roman" w:hAnsiTheme="majorHAnsi"/>
              </w:rPr>
              <w:br/>
            </w:r>
            <w:r w:rsidR="0035266A">
              <w:rPr>
                <w:rFonts w:asciiTheme="majorHAnsi" w:eastAsia="Times New Roman" w:hAnsiTheme="majorHAnsi"/>
              </w:rPr>
              <w:t>2015</w:t>
            </w: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rsidR="00880E62" w:rsidRPr="00D9657A" w:rsidRDefault="00880E62" w:rsidP="002A3F07">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rsidR="00880E62" w:rsidRPr="00D9657A" w:rsidRDefault="00880E62" w:rsidP="002A3F07">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w:t>
            </w:r>
            <w:proofErr w:type="gramStart"/>
            <w:r w:rsidRPr="00D9657A">
              <w:rPr>
                <w:rFonts w:asciiTheme="majorHAnsi" w:eastAsia="Times New Roman" w:hAnsiTheme="majorHAnsi"/>
              </w:rPr>
              <w:t>recommend</w:t>
            </w:r>
            <w:r>
              <w:rPr>
                <w:rFonts w:asciiTheme="majorHAnsi" w:eastAsia="Times New Roman" w:hAnsiTheme="majorHAnsi"/>
              </w:rPr>
              <w:t>ation  to</w:t>
            </w:r>
            <w:proofErr w:type="gramEnd"/>
            <w:r w:rsidRPr="00D9657A">
              <w:rPr>
                <w:rFonts w:asciiTheme="majorHAnsi" w:eastAsia="Times New Roman" w:hAnsiTheme="majorHAnsi"/>
              </w:rPr>
              <w:t xml:space="preserve"> move forward to the body for discussion and debate.    </w:t>
            </w:r>
          </w:p>
          <w:p w:rsidR="00880E62" w:rsidRPr="00D9657A" w:rsidRDefault="00880E62" w:rsidP="002A3F07">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If the Executive Committee recommends that the proposal not be forwarded to the body for discussion or debate,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35266A">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 xml:space="preserve">March </w:t>
            </w:r>
            <w:r w:rsidR="0035266A">
              <w:rPr>
                <w:rFonts w:asciiTheme="majorHAnsi" w:hAnsiTheme="majorHAnsi"/>
              </w:rPr>
              <w:t>2015</w:t>
            </w: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880E62">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rsidR="00880E62" w:rsidRPr="00D9657A" w:rsidRDefault="00880E62" w:rsidP="00880E62">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rsidR="00880E62" w:rsidRPr="00D9657A" w:rsidRDefault="00880E62" w:rsidP="00880E62">
            <w:pPr>
              <w:pStyle w:val="ListParagraph"/>
              <w:widowControl w:val="0"/>
              <w:numPr>
                <w:ilvl w:val="0"/>
                <w:numId w:val="13"/>
              </w:numPr>
              <w:autoSpaceDE w:val="0"/>
              <w:autoSpaceDN w:val="0"/>
              <w:adjustRightInd w:val="0"/>
              <w:spacing w:after="0" w:line="240" w:lineRule="auto"/>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35266A" w:rsidRDefault="00880E62" w:rsidP="002A3F07">
            <w:pPr>
              <w:widowControl w:val="0"/>
              <w:autoSpaceDE w:val="0"/>
              <w:autoSpaceDN w:val="0"/>
              <w:adjustRightInd w:val="0"/>
              <w:spacing w:after="0" w:line="240" w:lineRule="auto"/>
              <w:jc w:val="center"/>
              <w:rPr>
                <w:rFonts w:asciiTheme="majorHAnsi" w:hAnsiTheme="majorHAnsi"/>
              </w:rPr>
            </w:pPr>
            <w:r w:rsidRPr="0035266A">
              <w:rPr>
                <w:rFonts w:asciiTheme="majorHAnsi" w:hAnsiTheme="majorHAnsi"/>
              </w:rPr>
              <w:t>April</w:t>
            </w:r>
            <w:r w:rsidR="0035266A" w:rsidRPr="0035266A">
              <w:rPr>
                <w:rFonts w:asciiTheme="majorHAnsi" w:hAnsiTheme="majorHAnsi"/>
              </w:rPr>
              <w:t xml:space="preserve"> 2015</w:t>
            </w:r>
          </w:p>
          <w:p w:rsidR="00880E62" w:rsidRPr="00D9657A" w:rsidRDefault="00880E62" w:rsidP="002A3F07">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880E62">
            <w:pPr>
              <w:widowControl w:val="0"/>
              <w:numPr>
                <w:ilvl w:val="0"/>
                <w:numId w:val="14"/>
              </w:numPr>
              <w:autoSpaceDE w:val="0"/>
              <w:autoSpaceDN w:val="0"/>
              <w:adjustRightInd w:val="0"/>
              <w:spacing w:after="0" w:line="240" w:lineRule="auto"/>
              <w:rPr>
                <w:rFonts w:asciiTheme="majorHAnsi" w:hAnsiTheme="majorHAnsi"/>
              </w:rPr>
            </w:pPr>
            <w:r w:rsidRPr="00D9657A">
              <w:rPr>
                <w:rFonts w:asciiTheme="majorHAnsi" w:hAnsiTheme="majorHAnsi"/>
              </w:rPr>
              <w:t>Spring Plenary Session—</w:t>
            </w:r>
            <w:proofErr w:type="gramStart"/>
            <w:r w:rsidRPr="00D9657A">
              <w:rPr>
                <w:rFonts w:asciiTheme="majorHAnsi" w:hAnsiTheme="majorHAnsi"/>
              </w:rPr>
              <w:t>The</w:t>
            </w:r>
            <w:proofErr w:type="gramEnd"/>
            <w:r w:rsidRPr="00D9657A">
              <w:rPr>
                <w:rFonts w:asciiTheme="majorHAnsi" w:hAnsiTheme="majorHAnsi"/>
              </w:rPr>
              <w:t xml:space="preserv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[Note:  At a minimum proposals must be vetted at two of the statewide hearings]</w:t>
            </w:r>
          </w:p>
          <w:p w:rsidR="00880E62" w:rsidRPr="00D9657A" w:rsidRDefault="00880E62" w:rsidP="00880E62">
            <w:pPr>
              <w:widowControl w:val="0"/>
              <w:numPr>
                <w:ilvl w:val="0"/>
                <w:numId w:val="14"/>
              </w:numPr>
              <w:autoSpaceDE w:val="0"/>
              <w:autoSpaceDN w:val="0"/>
              <w:adjustRightInd w:val="0"/>
              <w:spacing w:after="0" w:line="240" w:lineRule="auto"/>
              <w:rPr>
                <w:rFonts w:asciiTheme="majorHAnsi" w:hAnsiTheme="majorHAnsi"/>
              </w:rPr>
            </w:pPr>
            <w:r w:rsidRPr="00D9657A">
              <w:rPr>
                <w:rFonts w:asciiTheme="majorHAnsi" w:hAnsiTheme="majorHAnsi"/>
              </w:rPr>
              <w:t>Delegates vote on Discipline Changes.</w:t>
            </w:r>
          </w:p>
          <w:p w:rsidR="00880E62" w:rsidRPr="00D9657A" w:rsidRDefault="00880E62" w:rsidP="00880E62">
            <w:pPr>
              <w:widowControl w:val="0"/>
              <w:numPr>
                <w:ilvl w:val="0"/>
                <w:numId w:val="14"/>
              </w:numPr>
              <w:autoSpaceDE w:val="0"/>
              <w:autoSpaceDN w:val="0"/>
              <w:adjustRightInd w:val="0"/>
              <w:spacing w:after="0" w:line="240" w:lineRule="auto"/>
              <w:rPr>
                <w:rFonts w:asciiTheme="majorHAnsi" w:hAnsiTheme="majorHAnsi"/>
              </w:rPr>
            </w:pPr>
            <w:r w:rsidRPr="00D9657A">
              <w:rPr>
                <w:rFonts w:asciiTheme="majorHAnsi" w:hAnsiTheme="majorHAnsi"/>
              </w:rPr>
              <w:t>No changes may be made to the proposal, even by amendment during plenary session, and proposals may not be withdrawn.  [This is because no changes can be made when the field has not had an opportunity to comment on them.]</w:t>
            </w:r>
          </w:p>
        </w:tc>
      </w:tr>
    </w:tbl>
    <w:p w:rsidR="00D01171" w:rsidRDefault="00D01171"/>
    <w:p w:rsidR="00D01171" w:rsidRDefault="00D01171">
      <w:pPr>
        <w:spacing w:after="160" w:line="259" w:lineRule="auto"/>
      </w:pPr>
      <w:r>
        <w:br w:type="page"/>
      </w:r>
    </w:p>
    <w:p w:rsidR="00D01171" w:rsidRDefault="00D01171" w:rsidP="00D01171">
      <w:pPr>
        <w:pStyle w:val="Header"/>
        <w:tabs>
          <w:tab w:val="clear" w:pos="4680"/>
          <w:tab w:val="clear" w:pos="9360"/>
        </w:tabs>
        <w:spacing w:after="200" w:line="276" w:lineRule="auto"/>
      </w:pPr>
    </w:p>
    <w:tbl>
      <w:tblPr>
        <w:tblpPr w:leftFromText="180" w:rightFromText="180" w:vertAnchor="text" w:horzAnchor="margin" w:tblpXSpec="center" w:tblpY="87"/>
        <w:tblW w:w="10620" w:type="dxa"/>
        <w:tblCellMar>
          <w:left w:w="120" w:type="dxa"/>
          <w:right w:w="120" w:type="dxa"/>
        </w:tblCellMar>
        <w:tblLook w:val="0000" w:firstRow="0" w:lastRow="0" w:firstColumn="0" w:lastColumn="0" w:noHBand="0" w:noVBand="0"/>
      </w:tblPr>
      <w:tblGrid>
        <w:gridCol w:w="2250"/>
        <w:gridCol w:w="8370"/>
      </w:tblGrid>
      <w:tr w:rsidR="00D01171" w:rsidRPr="00D9657A" w:rsidTr="00D01171">
        <w:tc>
          <w:tcPr>
            <w:tcW w:w="2250" w:type="dxa"/>
            <w:tcBorders>
              <w:top w:val="single" w:sz="7" w:space="0" w:color="000000"/>
              <w:left w:val="single" w:sz="7" w:space="0" w:color="000000"/>
              <w:bottom w:val="single" w:sz="7" w:space="0" w:color="000000"/>
              <w:right w:val="single" w:sz="7" w:space="0" w:color="000000"/>
            </w:tcBorders>
            <w:shd w:val="clear" w:color="auto" w:fill="66FFFF"/>
          </w:tcPr>
          <w:p w:rsidR="00D01171" w:rsidRPr="00D9657A" w:rsidRDefault="00D01171" w:rsidP="00D01171">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7" w:space="0" w:color="000000"/>
              <w:left w:val="single" w:sz="7" w:space="0" w:color="000000"/>
              <w:bottom w:val="single" w:sz="7" w:space="0" w:color="000000"/>
              <w:right w:val="single" w:sz="7" w:space="0" w:color="000000"/>
            </w:tcBorders>
            <w:shd w:val="clear" w:color="auto" w:fill="66FFFF"/>
          </w:tcPr>
          <w:p w:rsidR="00D01171" w:rsidRPr="00D9657A" w:rsidRDefault="00D01171" w:rsidP="00D01171">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rsidR="00880E62" w:rsidRPr="00D9657A" w:rsidRDefault="00880E62" w:rsidP="00880E62">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rsidR="00880E62" w:rsidRPr="00D9657A" w:rsidRDefault="00880E62" w:rsidP="00880E62">
            <w:pPr>
              <w:pStyle w:val="ListParagraph"/>
              <w:numPr>
                <w:ilvl w:val="0"/>
                <w:numId w:val="11"/>
              </w:numPr>
              <w:rPr>
                <w:rFonts w:asciiTheme="majorHAnsi" w:hAnsiTheme="majorHAnsi"/>
              </w:rPr>
            </w:pPr>
            <w:r w:rsidRPr="00D9657A">
              <w:rPr>
                <w:rFonts w:asciiTheme="majorHAnsi" w:hAnsiTheme="majorHAnsi"/>
              </w:rPr>
              <w:t xml:space="preserve">If a proposal is rejected by the body, then the proposal may be resubmitted but will need to be modified significantly and include new rationale and evidence for why it is being brought forward again.  </w:t>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35266A">
            <w:pPr>
              <w:widowControl w:val="0"/>
              <w:autoSpaceDE w:val="0"/>
              <w:autoSpaceDN w:val="0"/>
              <w:adjustRightInd w:val="0"/>
              <w:spacing w:after="0" w:line="240" w:lineRule="auto"/>
              <w:jc w:val="center"/>
              <w:rPr>
                <w:rFonts w:asciiTheme="majorHAnsi" w:hAnsiTheme="majorHAnsi"/>
                <w:b/>
              </w:rPr>
            </w:pPr>
            <w:r w:rsidRPr="00D9657A">
              <w:rPr>
                <w:rFonts w:asciiTheme="majorHAnsi" w:hAnsiTheme="majorHAnsi"/>
              </w:rPr>
              <w:t xml:space="preserve">May/June </w:t>
            </w:r>
            <w:r w:rsidR="0035266A">
              <w:rPr>
                <w:rFonts w:asciiTheme="majorHAnsi" w:hAnsiTheme="majorHAnsi"/>
              </w:rPr>
              <w:t xml:space="preserve">2015 </w:t>
            </w: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35266A">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July </w:t>
            </w:r>
            <w:r w:rsidR="0035266A">
              <w:rPr>
                <w:rFonts w:asciiTheme="majorHAnsi" w:hAnsiTheme="majorHAnsi"/>
              </w:rPr>
              <w:t>2015</w:t>
            </w: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rPr>
                <w:rFonts w:asciiTheme="majorHAnsi" w:hAnsiTheme="majorHAnsi"/>
              </w:rPr>
            </w:pPr>
            <w:r w:rsidRPr="00D9657A">
              <w:rPr>
                <w:rFonts w:asciiTheme="majorHAnsi" w:hAnsiTheme="majorHAnsi"/>
              </w:rPr>
              <w:t xml:space="preserve">Submit proposal to BOG (First reading):  Each proposal adopted by the Senate is forwarded to the Board of Governors as a recommendation. The Board of Governors considers the recommendations of the Senate and formally acts on them.  To date, the Board of Governors has accepted all recommendations of the Senate. </w:t>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35266A">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September </w:t>
            </w:r>
            <w:r w:rsidR="0035266A">
              <w:rPr>
                <w:rFonts w:asciiTheme="majorHAnsi" w:hAnsiTheme="majorHAnsi"/>
              </w:rPr>
              <w:t>2015</w:t>
            </w: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rPr>
                <w:rFonts w:asciiTheme="majorHAnsi" w:hAnsiTheme="majorHAnsi"/>
              </w:rPr>
            </w:pPr>
            <w:r w:rsidRPr="00D9657A">
              <w:rPr>
                <w:rFonts w:asciiTheme="majorHAnsi" w:hAnsiTheme="majorHAnsi"/>
              </w:rPr>
              <w:t>BOG (Second Reading)</w:t>
            </w:r>
          </w:p>
        </w:tc>
      </w:tr>
      <w:tr w:rsidR="00880E62" w:rsidRPr="00D9657A" w:rsidTr="005F7078">
        <w:tc>
          <w:tcPr>
            <w:tcW w:w="2250" w:type="dxa"/>
            <w:tcBorders>
              <w:top w:val="single" w:sz="7" w:space="0" w:color="000000"/>
              <w:left w:val="single" w:sz="7" w:space="0" w:color="000000"/>
              <w:bottom w:val="single" w:sz="7" w:space="0" w:color="000000"/>
              <w:right w:val="single" w:sz="7" w:space="0" w:color="000000"/>
            </w:tcBorders>
          </w:tcPr>
          <w:p w:rsidR="00880E62" w:rsidRPr="00D9657A" w:rsidRDefault="00880E62" w:rsidP="0035266A">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February </w:t>
            </w:r>
            <w:r w:rsidR="0035266A">
              <w:rPr>
                <w:rFonts w:asciiTheme="majorHAnsi" w:hAnsiTheme="majorHAnsi"/>
              </w:rPr>
              <w:t>2016</w:t>
            </w:r>
          </w:p>
        </w:tc>
        <w:tc>
          <w:tcPr>
            <w:tcW w:w="8370" w:type="dxa"/>
            <w:tcBorders>
              <w:top w:val="single" w:sz="7" w:space="0" w:color="000000"/>
              <w:left w:val="single" w:sz="7" w:space="0" w:color="000000"/>
              <w:bottom w:val="single" w:sz="7" w:space="0" w:color="000000"/>
              <w:right w:val="single" w:sz="7" w:space="0" w:color="000000"/>
            </w:tcBorders>
          </w:tcPr>
          <w:p w:rsidR="00880E62" w:rsidRPr="00D9657A" w:rsidRDefault="00880E62" w:rsidP="002A3F07">
            <w:pPr>
              <w:rPr>
                <w:rFonts w:asciiTheme="majorHAnsi" w:hAnsiTheme="majorHAnsi"/>
              </w:rPr>
            </w:pPr>
            <w:r w:rsidRPr="00D9657A">
              <w:rPr>
                <w:rFonts w:asciiTheme="majorHAnsi" w:hAnsiTheme="majorHAnsi"/>
              </w:rPr>
              <w:t>Restart process for new cycle.</w:t>
            </w:r>
          </w:p>
        </w:tc>
      </w:tr>
    </w:tbl>
    <w:p w:rsidR="0028381D" w:rsidRDefault="0028381D"/>
    <w:p w:rsidR="00D01171" w:rsidRDefault="00D01171" w:rsidP="00D01171">
      <w:pPr>
        <w:ind w:left="-540"/>
      </w:pPr>
      <w:r>
        <w:t xml:space="preserve">Approved </w:t>
      </w:r>
      <w:proofErr w:type="gramStart"/>
      <w:r>
        <w:t>Spring</w:t>
      </w:r>
      <w:proofErr w:type="gramEnd"/>
      <w:r>
        <w:t xml:space="preserve"> 2014 by the Delegates </w:t>
      </w:r>
      <w:bookmarkStart w:id="0" w:name="_GoBack"/>
      <w:bookmarkEnd w:id="0"/>
    </w:p>
    <w:sectPr w:rsidR="00D011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682" w:rsidRDefault="00CB2682" w:rsidP="00CB2682">
      <w:pPr>
        <w:spacing w:after="0" w:line="240" w:lineRule="auto"/>
      </w:pPr>
      <w:r>
        <w:separator/>
      </w:r>
    </w:p>
  </w:endnote>
  <w:endnote w:type="continuationSeparator" w:id="0">
    <w:p w:rsidR="00CB2682" w:rsidRDefault="00CB2682"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63103"/>
      <w:docPartObj>
        <w:docPartGallery w:val="Page Numbers (Bottom of Page)"/>
        <w:docPartUnique/>
      </w:docPartObj>
    </w:sdtPr>
    <w:sdtEndPr>
      <w:rPr>
        <w:noProof/>
      </w:rPr>
    </w:sdtEndPr>
    <w:sdtContent>
      <w:p w:rsidR="0035266A" w:rsidRDefault="0035266A" w:rsidP="0035266A">
        <w:pPr>
          <w:pStyle w:val="Footer"/>
          <w:jc w:val="center"/>
        </w:pPr>
        <w:r>
          <w:fldChar w:fldCharType="begin"/>
        </w:r>
        <w:r>
          <w:instrText xml:space="preserve"> PAGE   \* MERGEFORMAT </w:instrText>
        </w:r>
        <w:r>
          <w:fldChar w:fldCharType="separate"/>
        </w:r>
        <w:r w:rsidR="00D01171">
          <w:rPr>
            <w:noProof/>
          </w:rPr>
          <w:t>3</w:t>
        </w:r>
        <w:r>
          <w:rPr>
            <w:noProof/>
          </w:rPr>
          <w:fldChar w:fldCharType="end"/>
        </w:r>
      </w:p>
    </w:sdtContent>
  </w:sdt>
  <w:p w:rsidR="0035266A" w:rsidRDefault="0035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682" w:rsidRDefault="00CB2682" w:rsidP="00CB2682">
      <w:pPr>
        <w:spacing w:after="0" w:line="240" w:lineRule="auto"/>
      </w:pPr>
      <w:r>
        <w:separator/>
      </w:r>
    </w:p>
  </w:footnote>
  <w:footnote w:type="continuationSeparator" w:id="0">
    <w:p w:rsidR="00CB2682" w:rsidRDefault="00CB2682" w:rsidP="00CB26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682" w:rsidRDefault="00CB2682" w:rsidP="00CB2682">
    <w:pPr>
      <w:pStyle w:val="Header"/>
      <w:jc w:val="center"/>
    </w:pPr>
    <w:r>
      <w:t>DISCIPLINE REVIEW PROCESS</w:t>
    </w:r>
  </w:p>
  <w:p w:rsidR="00CB2682" w:rsidRDefault="00CB2682" w:rsidP="00CB2682">
    <w:pPr>
      <w:pStyle w:val="Header"/>
      <w:jc w:val="center"/>
    </w:pPr>
    <w:r>
      <w:t xml:space="preserve">2014 – 16 TIMELINE </w:t>
    </w:r>
  </w:p>
  <w:p w:rsidR="00CB2682" w:rsidRDefault="00CB2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2F4"/>
    <w:multiLevelType w:val="hybridMultilevel"/>
    <w:tmpl w:val="7B061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70895"/>
    <w:multiLevelType w:val="hybridMultilevel"/>
    <w:tmpl w:val="3FD402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3657481"/>
    <w:multiLevelType w:val="hybridMultilevel"/>
    <w:tmpl w:val="19E008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1E108D6"/>
    <w:multiLevelType w:val="hybridMultilevel"/>
    <w:tmpl w:val="D2965C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64FE3DFB"/>
    <w:multiLevelType w:val="hybridMultilevel"/>
    <w:tmpl w:val="1B666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51573BF"/>
    <w:multiLevelType w:val="hybridMultilevel"/>
    <w:tmpl w:val="AD5E94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1"/>
  </w:num>
  <w:num w:numId="4">
    <w:abstractNumId w:val="12"/>
  </w:num>
  <w:num w:numId="5">
    <w:abstractNumId w:val="10"/>
  </w:num>
  <w:num w:numId="6">
    <w:abstractNumId w:val="6"/>
  </w:num>
  <w:num w:numId="7">
    <w:abstractNumId w:val="1"/>
  </w:num>
  <w:num w:numId="8">
    <w:abstractNumId w:val="14"/>
  </w:num>
  <w:num w:numId="9">
    <w:abstractNumId w:val="8"/>
  </w:num>
  <w:num w:numId="10">
    <w:abstractNumId w:val="13"/>
  </w:num>
  <w:num w:numId="11">
    <w:abstractNumId w:val="7"/>
  </w:num>
  <w:num w:numId="12">
    <w:abstractNumId w:val="0"/>
  </w:num>
  <w:num w:numId="13">
    <w:abstractNumId w:val="3"/>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62"/>
    <w:rsid w:val="00001F93"/>
    <w:rsid w:val="000035E1"/>
    <w:rsid w:val="00003A0F"/>
    <w:rsid w:val="00006D3F"/>
    <w:rsid w:val="000128AD"/>
    <w:rsid w:val="000139F9"/>
    <w:rsid w:val="00016D60"/>
    <w:rsid w:val="000251A1"/>
    <w:rsid w:val="000302A2"/>
    <w:rsid w:val="00032113"/>
    <w:rsid w:val="00032514"/>
    <w:rsid w:val="00032728"/>
    <w:rsid w:val="000346BD"/>
    <w:rsid w:val="00035067"/>
    <w:rsid w:val="00040F0A"/>
    <w:rsid w:val="00046095"/>
    <w:rsid w:val="000542F0"/>
    <w:rsid w:val="000605DA"/>
    <w:rsid w:val="000609D3"/>
    <w:rsid w:val="00066D7A"/>
    <w:rsid w:val="0006783F"/>
    <w:rsid w:val="000730EC"/>
    <w:rsid w:val="000742B1"/>
    <w:rsid w:val="00074CD8"/>
    <w:rsid w:val="00075336"/>
    <w:rsid w:val="000776CA"/>
    <w:rsid w:val="00080AC9"/>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F3359"/>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603E2"/>
    <w:rsid w:val="0016096C"/>
    <w:rsid w:val="00160ED0"/>
    <w:rsid w:val="00162B49"/>
    <w:rsid w:val="00165C16"/>
    <w:rsid w:val="001724A7"/>
    <w:rsid w:val="001724E6"/>
    <w:rsid w:val="00172835"/>
    <w:rsid w:val="0017621F"/>
    <w:rsid w:val="00183D71"/>
    <w:rsid w:val="0019055B"/>
    <w:rsid w:val="001922D8"/>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F1180"/>
    <w:rsid w:val="001F15B5"/>
    <w:rsid w:val="001F4756"/>
    <w:rsid w:val="001F553F"/>
    <w:rsid w:val="00205CEE"/>
    <w:rsid w:val="0020724C"/>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4B4D"/>
    <w:rsid w:val="002667B6"/>
    <w:rsid w:val="00274DF9"/>
    <w:rsid w:val="00276495"/>
    <w:rsid w:val="00276BDF"/>
    <w:rsid w:val="00277D2B"/>
    <w:rsid w:val="0028303E"/>
    <w:rsid w:val="0028381D"/>
    <w:rsid w:val="00291743"/>
    <w:rsid w:val="00291E7D"/>
    <w:rsid w:val="00294F90"/>
    <w:rsid w:val="00296B4B"/>
    <w:rsid w:val="002A700F"/>
    <w:rsid w:val="002B0974"/>
    <w:rsid w:val="002B29D1"/>
    <w:rsid w:val="002B2D8C"/>
    <w:rsid w:val="002B5875"/>
    <w:rsid w:val="002C100D"/>
    <w:rsid w:val="002C1A39"/>
    <w:rsid w:val="002C582F"/>
    <w:rsid w:val="002D5BE0"/>
    <w:rsid w:val="002D5EC2"/>
    <w:rsid w:val="002D604C"/>
    <w:rsid w:val="002E0730"/>
    <w:rsid w:val="002E3B77"/>
    <w:rsid w:val="002E58A7"/>
    <w:rsid w:val="002F0A80"/>
    <w:rsid w:val="002F13FD"/>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12217"/>
    <w:rsid w:val="00416076"/>
    <w:rsid w:val="00416189"/>
    <w:rsid w:val="00421D2E"/>
    <w:rsid w:val="0043073E"/>
    <w:rsid w:val="00431D27"/>
    <w:rsid w:val="00433EE1"/>
    <w:rsid w:val="00440811"/>
    <w:rsid w:val="00442E5C"/>
    <w:rsid w:val="004444F7"/>
    <w:rsid w:val="00445B58"/>
    <w:rsid w:val="004463FF"/>
    <w:rsid w:val="00447D96"/>
    <w:rsid w:val="00454CF4"/>
    <w:rsid w:val="004568AC"/>
    <w:rsid w:val="0046411E"/>
    <w:rsid w:val="00472ACF"/>
    <w:rsid w:val="00472C1F"/>
    <w:rsid w:val="004800E6"/>
    <w:rsid w:val="0048080A"/>
    <w:rsid w:val="004867AA"/>
    <w:rsid w:val="00490B5D"/>
    <w:rsid w:val="00490DA1"/>
    <w:rsid w:val="00494F85"/>
    <w:rsid w:val="004971F1"/>
    <w:rsid w:val="004A10A7"/>
    <w:rsid w:val="004A146F"/>
    <w:rsid w:val="004B6D67"/>
    <w:rsid w:val="004B7408"/>
    <w:rsid w:val="004C4D92"/>
    <w:rsid w:val="004C61E7"/>
    <w:rsid w:val="004C6697"/>
    <w:rsid w:val="004D0AC3"/>
    <w:rsid w:val="004D0D3E"/>
    <w:rsid w:val="004D2EF6"/>
    <w:rsid w:val="004D53F3"/>
    <w:rsid w:val="004D7C87"/>
    <w:rsid w:val="004E3B1B"/>
    <w:rsid w:val="004F0235"/>
    <w:rsid w:val="004F5E34"/>
    <w:rsid w:val="00500F4E"/>
    <w:rsid w:val="00501A0E"/>
    <w:rsid w:val="00505FAC"/>
    <w:rsid w:val="00506EE4"/>
    <w:rsid w:val="005167F4"/>
    <w:rsid w:val="00516A15"/>
    <w:rsid w:val="00526BF1"/>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29D1"/>
    <w:rsid w:val="00572D0C"/>
    <w:rsid w:val="00573BFD"/>
    <w:rsid w:val="00576DBF"/>
    <w:rsid w:val="00583CE2"/>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28F4"/>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FCD"/>
    <w:rsid w:val="00697D70"/>
    <w:rsid w:val="00697F3A"/>
    <w:rsid w:val="006A0186"/>
    <w:rsid w:val="006A4EAD"/>
    <w:rsid w:val="006A5924"/>
    <w:rsid w:val="006B54B8"/>
    <w:rsid w:val="006B72F1"/>
    <w:rsid w:val="006C268B"/>
    <w:rsid w:val="006C2E9B"/>
    <w:rsid w:val="006C330A"/>
    <w:rsid w:val="006C40EE"/>
    <w:rsid w:val="006C5A0E"/>
    <w:rsid w:val="006C6DBF"/>
    <w:rsid w:val="006C70CB"/>
    <w:rsid w:val="006D1F64"/>
    <w:rsid w:val="006D676A"/>
    <w:rsid w:val="006E0AA0"/>
    <w:rsid w:val="006E0E2A"/>
    <w:rsid w:val="006F5E42"/>
    <w:rsid w:val="007005E6"/>
    <w:rsid w:val="0070229E"/>
    <w:rsid w:val="007034E1"/>
    <w:rsid w:val="00703674"/>
    <w:rsid w:val="00705FB8"/>
    <w:rsid w:val="00733DED"/>
    <w:rsid w:val="007379F1"/>
    <w:rsid w:val="00741888"/>
    <w:rsid w:val="00741D7F"/>
    <w:rsid w:val="00745485"/>
    <w:rsid w:val="00746082"/>
    <w:rsid w:val="00750247"/>
    <w:rsid w:val="00772FDB"/>
    <w:rsid w:val="00781F6A"/>
    <w:rsid w:val="007858BE"/>
    <w:rsid w:val="00794314"/>
    <w:rsid w:val="007A0EA5"/>
    <w:rsid w:val="007B694E"/>
    <w:rsid w:val="007C0D2D"/>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217B8"/>
    <w:rsid w:val="0082523F"/>
    <w:rsid w:val="00825BC8"/>
    <w:rsid w:val="008272AA"/>
    <w:rsid w:val="00832422"/>
    <w:rsid w:val="00832602"/>
    <w:rsid w:val="00835A5C"/>
    <w:rsid w:val="00844A2C"/>
    <w:rsid w:val="0085089B"/>
    <w:rsid w:val="00850B93"/>
    <w:rsid w:val="008517C3"/>
    <w:rsid w:val="00860902"/>
    <w:rsid w:val="008613DB"/>
    <w:rsid w:val="008765C7"/>
    <w:rsid w:val="00876BA0"/>
    <w:rsid w:val="00880E62"/>
    <w:rsid w:val="008817AB"/>
    <w:rsid w:val="00881DAF"/>
    <w:rsid w:val="00883FE5"/>
    <w:rsid w:val="00886E7C"/>
    <w:rsid w:val="00890362"/>
    <w:rsid w:val="0089049B"/>
    <w:rsid w:val="008A0804"/>
    <w:rsid w:val="008A0C8D"/>
    <w:rsid w:val="008A44B3"/>
    <w:rsid w:val="008B16FB"/>
    <w:rsid w:val="008B4F52"/>
    <w:rsid w:val="008C0304"/>
    <w:rsid w:val="008C0939"/>
    <w:rsid w:val="008C0CD7"/>
    <w:rsid w:val="008C36EC"/>
    <w:rsid w:val="008C599B"/>
    <w:rsid w:val="008D626F"/>
    <w:rsid w:val="008F0234"/>
    <w:rsid w:val="008F4615"/>
    <w:rsid w:val="008F5A82"/>
    <w:rsid w:val="00903609"/>
    <w:rsid w:val="00904D8D"/>
    <w:rsid w:val="0091237B"/>
    <w:rsid w:val="00913084"/>
    <w:rsid w:val="00914558"/>
    <w:rsid w:val="00916380"/>
    <w:rsid w:val="0091771E"/>
    <w:rsid w:val="00927D28"/>
    <w:rsid w:val="00927DA1"/>
    <w:rsid w:val="00931BDB"/>
    <w:rsid w:val="009338A8"/>
    <w:rsid w:val="00936F1C"/>
    <w:rsid w:val="00943EAE"/>
    <w:rsid w:val="00944028"/>
    <w:rsid w:val="009459BB"/>
    <w:rsid w:val="00950C5B"/>
    <w:rsid w:val="00950D44"/>
    <w:rsid w:val="00951964"/>
    <w:rsid w:val="00955B87"/>
    <w:rsid w:val="00987649"/>
    <w:rsid w:val="0099211F"/>
    <w:rsid w:val="009A4C9E"/>
    <w:rsid w:val="009A5A74"/>
    <w:rsid w:val="009B30C5"/>
    <w:rsid w:val="009B4142"/>
    <w:rsid w:val="009B5C18"/>
    <w:rsid w:val="009B7357"/>
    <w:rsid w:val="009C0820"/>
    <w:rsid w:val="009C17F1"/>
    <w:rsid w:val="009D42F9"/>
    <w:rsid w:val="009D5D30"/>
    <w:rsid w:val="009E18D0"/>
    <w:rsid w:val="009E27C6"/>
    <w:rsid w:val="00A035C6"/>
    <w:rsid w:val="00A06041"/>
    <w:rsid w:val="00A07F66"/>
    <w:rsid w:val="00A154A5"/>
    <w:rsid w:val="00A15AC3"/>
    <w:rsid w:val="00A16331"/>
    <w:rsid w:val="00A258E6"/>
    <w:rsid w:val="00A34B43"/>
    <w:rsid w:val="00A35535"/>
    <w:rsid w:val="00A3725C"/>
    <w:rsid w:val="00A42A51"/>
    <w:rsid w:val="00A44692"/>
    <w:rsid w:val="00A51EAA"/>
    <w:rsid w:val="00A532F3"/>
    <w:rsid w:val="00A6023E"/>
    <w:rsid w:val="00A6040C"/>
    <w:rsid w:val="00A71884"/>
    <w:rsid w:val="00A72F04"/>
    <w:rsid w:val="00A76B69"/>
    <w:rsid w:val="00A90BAE"/>
    <w:rsid w:val="00A91888"/>
    <w:rsid w:val="00A92866"/>
    <w:rsid w:val="00AA213E"/>
    <w:rsid w:val="00AA2D29"/>
    <w:rsid w:val="00AA4CEB"/>
    <w:rsid w:val="00AB3311"/>
    <w:rsid w:val="00AB36AC"/>
    <w:rsid w:val="00AC6513"/>
    <w:rsid w:val="00AD2BC9"/>
    <w:rsid w:val="00AD3585"/>
    <w:rsid w:val="00AE3C40"/>
    <w:rsid w:val="00AF14F2"/>
    <w:rsid w:val="00AF3627"/>
    <w:rsid w:val="00AF3CA1"/>
    <w:rsid w:val="00B06B0C"/>
    <w:rsid w:val="00B12BBA"/>
    <w:rsid w:val="00B13A63"/>
    <w:rsid w:val="00B15859"/>
    <w:rsid w:val="00B177E1"/>
    <w:rsid w:val="00B202C8"/>
    <w:rsid w:val="00B2106D"/>
    <w:rsid w:val="00B2149B"/>
    <w:rsid w:val="00B21585"/>
    <w:rsid w:val="00B267F0"/>
    <w:rsid w:val="00B27788"/>
    <w:rsid w:val="00B279A5"/>
    <w:rsid w:val="00B30DB5"/>
    <w:rsid w:val="00B424FE"/>
    <w:rsid w:val="00B432DA"/>
    <w:rsid w:val="00B506FF"/>
    <w:rsid w:val="00B52532"/>
    <w:rsid w:val="00B57A9C"/>
    <w:rsid w:val="00B60366"/>
    <w:rsid w:val="00B60AB3"/>
    <w:rsid w:val="00B638DB"/>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A0BDD"/>
    <w:rsid w:val="00BA29E9"/>
    <w:rsid w:val="00BB1095"/>
    <w:rsid w:val="00BB155D"/>
    <w:rsid w:val="00BB2712"/>
    <w:rsid w:val="00BB31DC"/>
    <w:rsid w:val="00BB3F61"/>
    <w:rsid w:val="00BB71C6"/>
    <w:rsid w:val="00BC177A"/>
    <w:rsid w:val="00BC31E0"/>
    <w:rsid w:val="00BC3AEC"/>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80849"/>
    <w:rsid w:val="00C81504"/>
    <w:rsid w:val="00C862B1"/>
    <w:rsid w:val="00C87E10"/>
    <w:rsid w:val="00C9101D"/>
    <w:rsid w:val="00C95CCF"/>
    <w:rsid w:val="00CA1516"/>
    <w:rsid w:val="00CA4F00"/>
    <w:rsid w:val="00CB0FD1"/>
    <w:rsid w:val="00CB129B"/>
    <w:rsid w:val="00CB2682"/>
    <w:rsid w:val="00CB28BF"/>
    <w:rsid w:val="00CB38AF"/>
    <w:rsid w:val="00CB63F6"/>
    <w:rsid w:val="00CB72D9"/>
    <w:rsid w:val="00CB73BA"/>
    <w:rsid w:val="00CC45D0"/>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F34"/>
    <w:rsid w:val="00D24CD7"/>
    <w:rsid w:val="00D26614"/>
    <w:rsid w:val="00D3001E"/>
    <w:rsid w:val="00D325FD"/>
    <w:rsid w:val="00D34DA9"/>
    <w:rsid w:val="00D42160"/>
    <w:rsid w:val="00D42605"/>
    <w:rsid w:val="00D46B0C"/>
    <w:rsid w:val="00D52FB2"/>
    <w:rsid w:val="00D54180"/>
    <w:rsid w:val="00D66101"/>
    <w:rsid w:val="00D6787E"/>
    <w:rsid w:val="00D75C96"/>
    <w:rsid w:val="00D76495"/>
    <w:rsid w:val="00D82556"/>
    <w:rsid w:val="00D82FDD"/>
    <w:rsid w:val="00D8308D"/>
    <w:rsid w:val="00D84A36"/>
    <w:rsid w:val="00D85211"/>
    <w:rsid w:val="00D918BF"/>
    <w:rsid w:val="00D93B81"/>
    <w:rsid w:val="00D94DE7"/>
    <w:rsid w:val="00D975D5"/>
    <w:rsid w:val="00DA2286"/>
    <w:rsid w:val="00DA25FA"/>
    <w:rsid w:val="00DB1354"/>
    <w:rsid w:val="00DB589B"/>
    <w:rsid w:val="00DB5958"/>
    <w:rsid w:val="00DB6E19"/>
    <w:rsid w:val="00DC2A24"/>
    <w:rsid w:val="00DC5C81"/>
    <w:rsid w:val="00DC7D18"/>
    <w:rsid w:val="00DD0BA1"/>
    <w:rsid w:val="00DD457A"/>
    <w:rsid w:val="00DE19CA"/>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45A4"/>
    <w:rsid w:val="00E5664E"/>
    <w:rsid w:val="00E608B5"/>
    <w:rsid w:val="00E61A2F"/>
    <w:rsid w:val="00E65691"/>
    <w:rsid w:val="00E6690B"/>
    <w:rsid w:val="00E7140E"/>
    <w:rsid w:val="00E80333"/>
    <w:rsid w:val="00E91192"/>
    <w:rsid w:val="00E91F5E"/>
    <w:rsid w:val="00E92D85"/>
    <w:rsid w:val="00E9313A"/>
    <w:rsid w:val="00E93D6A"/>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65CA"/>
    <w:rsid w:val="00F270CC"/>
    <w:rsid w:val="00F27E9F"/>
    <w:rsid w:val="00F32ED3"/>
    <w:rsid w:val="00F35CF2"/>
    <w:rsid w:val="00F36815"/>
    <w:rsid w:val="00F46B95"/>
    <w:rsid w:val="00F63672"/>
    <w:rsid w:val="00F6476F"/>
    <w:rsid w:val="00F66C1F"/>
    <w:rsid w:val="00F67DEA"/>
    <w:rsid w:val="00F70410"/>
    <w:rsid w:val="00F75908"/>
    <w:rsid w:val="00F8032F"/>
    <w:rsid w:val="00F81E22"/>
    <w:rsid w:val="00F82CCD"/>
    <w:rsid w:val="00F8677B"/>
    <w:rsid w:val="00F9458F"/>
    <w:rsid w:val="00FA076B"/>
    <w:rsid w:val="00FA1C15"/>
    <w:rsid w:val="00FA23D7"/>
    <w:rsid w:val="00FA252A"/>
    <w:rsid w:val="00FA2F4A"/>
    <w:rsid w:val="00FA7F5F"/>
    <w:rsid w:val="00FB3BCB"/>
    <w:rsid w:val="00FB6FEE"/>
    <w:rsid w:val="00FC6D2A"/>
    <w:rsid w:val="00FD10C8"/>
    <w:rsid w:val="00FD2FAD"/>
    <w:rsid w:val="00FD4137"/>
    <w:rsid w:val="00FE30FC"/>
    <w:rsid w:val="00FE3B4B"/>
    <w:rsid w:val="00FE5048"/>
    <w:rsid w:val="00FE7130"/>
    <w:rsid w:val="00FE7FD9"/>
    <w:rsid w:val="00FF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EAC52-EEC8-405A-B4DB-C9F975B1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D5"/>
    <w:rsid w:val="00D8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B19A310DCD4F8DAFB4C8C971C9F945">
    <w:name w:val="E1B19A310DCD4F8DAFB4C8C971C9F945"/>
    <w:rsid w:val="00D80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A1FA3-4731-4616-9433-6190FB13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5</cp:revision>
  <dcterms:created xsi:type="dcterms:W3CDTF">2014-04-22T21:08:00Z</dcterms:created>
  <dcterms:modified xsi:type="dcterms:W3CDTF">2014-04-22T21:29:00Z</dcterms:modified>
</cp:coreProperties>
</file>