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1F20F" w14:textId="77777777" w:rsidR="00E10C7F" w:rsidRPr="008F6C41" w:rsidRDefault="00E10C7F" w:rsidP="005C4E7D">
      <w:pPr>
        <w:widowControl w:val="0"/>
        <w:spacing w:line="276" w:lineRule="auto"/>
        <w:jc w:val="center"/>
        <w:rPr>
          <w:rFonts w:eastAsia="Calibri"/>
          <w:sz w:val="44"/>
          <w:szCs w:val="44"/>
        </w:rPr>
      </w:pPr>
      <w:r w:rsidRPr="008F6C41">
        <w:rPr>
          <w:rFonts w:eastAsia="Calibri"/>
          <w:noProof/>
          <w:sz w:val="22"/>
          <w:szCs w:val="22"/>
        </w:rPr>
        <w:drawing>
          <wp:anchor distT="0" distB="0" distL="114300" distR="114300" simplePos="0" relativeHeight="251659264" behindDoc="0" locked="0" layoutInCell="1" allowOverlap="1" wp14:anchorId="349A36C1" wp14:editId="1B336C6C">
            <wp:simplePos x="0" y="0"/>
            <wp:positionH relativeFrom="column">
              <wp:posOffset>914400</wp:posOffset>
            </wp:positionH>
            <wp:positionV relativeFrom="paragraph">
              <wp:posOffset>417830</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01BFE6F8" w14:textId="77777777" w:rsidR="00E10C7F" w:rsidRPr="008F6C41" w:rsidRDefault="00E10C7F" w:rsidP="005C4E7D">
      <w:pPr>
        <w:widowControl w:val="0"/>
        <w:spacing w:line="276" w:lineRule="auto"/>
        <w:jc w:val="center"/>
        <w:rPr>
          <w:rFonts w:eastAsia="Calibri"/>
          <w:sz w:val="44"/>
          <w:szCs w:val="44"/>
        </w:rPr>
      </w:pPr>
    </w:p>
    <w:p w14:paraId="3A0C7071" w14:textId="77777777" w:rsidR="00E10C7F" w:rsidRPr="008F6C41" w:rsidRDefault="00E10C7F" w:rsidP="005C4E7D">
      <w:pPr>
        <w:widowControl w:val="0"/>
        <w:spacing w:line="276" w:lineRule="auto"/>
        <w:jc w:val="center"/>
        <w:rPr>
          <w:rFonts w:eastAsia="Calibri"/>
          <w:sz w:val="44"/>
          <w:szCs w:val="44"/>
        </w:rPr>
      </w:pPr>
    </w:p>
    <w:p w14:paraId="0A426950" w14:textId="77777777" w:rsidR="00E10C7F" w:rsidRPr="008F6C41" w:rsidRDefault="00E10C7F" w:rsidP="005C4E7D">
      <w:pPr>
        <w:widowControl w:val="0"/>
        <w:spacing w:line="276" w:lineRule="auto"/>
        <w:jc w:val="center"/>
        <w:rPr>
          <w:rFonts w:eastAsia="Calibri"/>
          <w:sz w:val="44"/>
          <w:szCs w:val="44"/>
        </w:rPr>
      </w:pPr>
    </w:p>
    <w:p w14:paraId="30CEC667" w14:textId="77777777" w:rsidR="002F6FE3" w:rsidRPr="008F6C41" w:rsidRDefault="002F6FE3" w:rsidP="005C4E7D">
      <w:pPr>
        <w:widowControl w:val="0"/>
        <w:spacing w:line="276" w:lineRule="auto"/>
        <w:jc w:val="center"/>
        <w:rPr>
          <w:rFonts w:eastAsia="Calibri"/>
          <w:sz w:val="44"/>
          <w:szCs w:val="44"/>
        </w:rPr>
      </w:pPr>
    </w:p>
    <w:p w14:paraId="079E3AEF" w14:textId="77777777" w:rsidR="00E10C7F" w:rsidRPr="008F6C41" w:rsidRDefault="002F6FE3" w:rsidP="005C4E7D">
      <w:pPr>
        <w:widowControl w:val="0"/>
        <w:spacing w:line="276" w:lineRule="auto"/>
        <w:jc w:val="center"/>
        <w:rPr>
          <w:rFonts w:eastAsia="Calibri"/>
          <w:b/>
          <w:sz w:val="44"/>
          <w:szCs w:val="44"/>
        </w:rPr>
      </w:pPr>
      <w:r w:rsidRPr="008F6C41">
        <w:rPr>
          <w:rFonts w:eastAsia="Calibri"/>
          <w:b/>
          <w:sz w:val="44"/>
          <w:szCs w:val="44"/>
        </w:rPr>
        <w:t>3</w:t>
      </w:r>
      <w:r w:rsidRPr="008F6C41">
        <w:rPr>
          <w:rFonts w:eastAsia="Calibri"/>
          <w:b/>
          <w:sz w:val="44"/>
          <w:szCs w:val="44"/>
          <w:vertAlign w:val="superscript"/>
        </w:rPr>
        <w:t>rd</w:t>
      </w:r>
      <w:r w:rsidRPr="008F6C41">
        <w:rPr>
          <w:rFonts w:eastAsia="Calibri"/>
          <w:b/>
          <w:sz w:val="44"/>
          <w:szCs w:val="44"/>
        </w:rPr>
        <w:t xml:space="preserve"> </w:t>
      </w:r>
      <w:r w:rsidR="00E10C7F" w:rsidRPr="008F6C41">
        <w:rPr>
          <w:rFonts w:eastAsia="Calibri"/>
          <w:b/>
          <w:sz w:val="44"/>
          <w:szCs w:val="44"/>
        </w:rPr>
        <w:t xml:space="preserve"> </w:t>
      </w:r>
      <w:r w:rsidRPr="008F6C41">
        <w:rPr>
          <w:rFonts w:eastAsia="Calibri"/>
          <w:b/>
          <w:sz w:val="44"/>
          <w:szCs w:val="44"/>
        </w:rPr>
        <w:t>ANNUAL MOCK PLENARY SESSION</w:t>
      </w:r>
    </w:p>
    <w:p w14:paraId="3F91EE56" w14:textId="77777777" w:rsidR="002F6FE3" w:rsidRPr="008F6C41" w:rsidRDefault="002F6FE3" w:rsidP="005C4E7D">
      <w:pPr>
        <w:widowControl w:val="0"/>
        <w:spacing w:line="276" w:lineRule="auto"/>
        <w:jc w:val="center"/>
        <w:rPr>
          <w:rFonts w:eastAsia="Calibri"/>
          <w:b/>
          <w:i/>
          <w:sz w:val="44"/>
          <w:szCs w:val="44"/>
        </w:rPr>
      </w:pPr>
    </w:p>
    <w:p w14:paraId="5A31E55F" w14:textId="77777777" w:rsidR="00C965E3" w:rsidRDefault="002F6FE3" w:rsidP="005C4E7D">
      <w:pPr>
        <w:widowControl w:val="0"/>
        <w:spacing w:line="276" w:lineRule="auto"/>
        <w:jc w:val="center"/>
        <w:rPr>
          <w:rFonts w:eastAsia="Calibri"/>
          <w:b/>
          <w:i/>
          <w:sz w:val="44"/>
          <w:szCs w:val="44"/>
        </w:rPr>
      </w:pPr>
      <w:r w:rsidRPr="008F6C41">
        <w:rPr>
          <w:rFonts w:eastAsia="Calibri"/>
          <w:b/>
          <w:i/>
          <w:sz w:val="44"/>
          <w:szCs w:val="44"/>
        </w:rPr>
        <w:t xml:space="preserve">FOR DISCUSSION ON FRIDAY, </w:t>
      </w:r>
    </w:p>
    <w:p w14:paraId="5C7139D3" w14:textId="4739409B" w:rsidR="00E10C7F" w:rsidRPr="008F6C41" w:rsidRDefault="002F6FE3" w:rsidP="005C4E7D">
      <w:pPr>
        <w:widowControl w:val="0"/>
        <w:spacing w:line="276" w:lineRule="auto"/>
        <w:jc w:val="center"/>
        <w:rPr>
          <w:rFonts w:eastAsia="Calibri"/>
          <w:b/>
          <w:i/>
          <w:sz w:val="44"/>
          <w:szCs w:val="44"/>
        </w:rPr>
      </w:pPr>
      <w:r w:rsidRPr="008F6C41">
        <w:rPr>
          <w:rFonts w:eastAsia="Calibri"/>
          <w:b/>
          <w:i/>
          <w:sz w:val="44"/>
          <w:szCs w:val="44"/>
        </w:rPr>
        <w:t>JUNE 16, 2017</w:t>
      </w:r>
    </w:p>
    <w:p w14:paraId="7EC432A8" w14:textId="77777777" w:rsidR="002F6FE3" w:rsidRPr="008F6C41" w:rsidRDefault="002F6FE3" w:rsidP="005C4E7D">
      <w:pPr>
        <w:jc w:val="center"/>
        <w:rPr>
          <w:rFonts w:eastAsia="Calibri"/>
          <w:i/>
          <w:sz w:val="32"/>
          <w:szCs w:val="32"/>
        </w:rPr>
      </w:pPr>
    </w:p>
    <w:p w14:paraId="47D86386" w14:textId="73736706" w:rsidR="00C73D9A" w:rsidRPr="008F6C41" w:rsidRDefault="00C73D9A" w:rsidP="005C4E7D">
      <w:pPr>
        <w:rPr>
          <w:rFonts w:eastAsia="Calibri"/>
          <w:i/>
          <w:sz w:val="32"/>
          <w:szCs w:val="32"/>
        </w:rPr>
      </w:pPr>
      <w:r w:rsidRPr="008F6C41">
        <w:rPr>
          <w:rFonts w:eastAsia="Calibri"/>
          <w:i/>
          <w:sz w:val="32"/>
          <w:szCs w:val="32"/>
        </w:rPr>
        <w:t>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the Mock Plenary Session at the Academic Senat</w:t>
      </w:r>
      <w:r w:rsidR="00FE6442">
        <w:rPr>
          <w:rFonts w:eastAsia="Calibri"/>
          <w:i/>
          <w:sz w:val="32"/>
          <w:szCs w:val="32"/>
        </w:rPr>
        <w:t xml:space="preserve">e Leadership Institute, June </w:t>
      </w:r>
      <w:r w:rsidRPr="008F6C41">
        <w:rPr>
          <w:rFonts w:eastAsia="Calibri"/>
          <w:i/>
          <w:sz w:val="32"/>
          <w:szCs w:val="32"/>
        </w:rPr>
        <w:t>17, 2017.</w:t>
      </w:r>
    </w:p>
    <w:p w14:paraId="536ED555" w14:textId="77777777" w:rsidR="00C73D9A" w:rsidRPr="008F6C41" w:rsidRDefault="00C73D9A" w:rsidP="005C4E7D">
      <w:pPr>
        <w:jc w:val="center"/>
        <w:rPr>
          <w:rFonts w:eastAsia="Calibri"/>
          <w:sz w:val="32"/>
          <w:szCs w:val="32"/>
        </w:rPr>
      </w:pPr>
    </w:p>
    <w:p w14:paraId="5DFB0CEC" w14:textId="77777777" w:rsidR="002F6FE3" w:rsidRPr="008F6C41" w:rsidRDefault="002F6FE3" w:rsidP="005C4E7D">
      <w:pPr>
        <w:jc w:val="center"/>
        <w:rPr>
          <w:rFonts w:eastAsia="Calibri"/>
          <w:sz w:val="32"/>
          <w:szCs w:val="32"/>
        </w:rPr>
      </w:pPr>
    </w:p>
    <w:p w14:paraId="032B9AEC" w14:textId="77777777" w:rsidR="002F6FE3" w:rsidRPr="008F6C41" w:rsidRDefault="002F6FE3" w:rsidP="005C4E7D">
      <w:pPr>
        <w:jc w:val="center"/>
        <w:rPr>
          <w:rFonts w:eastAsia="Calibri"/>
          <w:sz w:val="32"/>
          <w:szCs w:val="32"/>
        </w:rPr>
      </w:pPr>
    </w:p>
    <w:p w14:paraId="3AE2F367" w14:textId="77777777" w:rsidR="002F6FE3" w:rsidRPr="008F6C41" w:rsidRDefault="002F6FE3" w:rsidP="005C4E7D">
      <w:pPr>
        <w:jc w:val="center"/>
        <w:rPr>
          <w:rFonts w:eastAsia="Calibri"/>
          <w:sz w:val="32"/>
          <w:szCs w:val="32"/>
        </w:rPr>
      </w:pPr>
    </w:p>
    <w:p w14:paraId="2FA07B95" w14:textId="77777777" w:rsidR="002F6FE3" w:rsidRPr="008F6C41" w:rsidRDefault="002F6FE3" w:rsidP="005C4E7D">
      <w:pPr>
        <w:jc w:val="center"/>
        <w:rPr>
          <w:rFonts w:eastAsia="Calibri"/>
          <w:sz w:val="32"/>
          <w:szCs w:val="32"/>
        </w:rPr>
      </w:pPr>
    </w:p>
    <w:p w14:paraId="3AB1C059" w14:textId="77777777" w:rsidR="002F6FE3" w:rsidRPr="008F6C41" w:rsidRDefault="002F6FE3" w:rsidP="005C4E7D">
      <w:pPr>
        <w:jc w:val="center"/>
        <w:rPr>
          <w:rFonts w:eastAsia="Calibri"/>
          <w:sz w:val="32"/>
          <w:szCs w:val="32"/>
        </w:rPr>
      </w:pPr>
    </w:p>
    <w:p w14:paraId="502CD92B" w14:textId="77777777" w:rsidR="002F6FE3" w:rsidRPr="008F6C41" w:rsidRDefault="002F6FE3" w:rsidP="005C4E7D">
      <w:pPr>
        <w:jc w:val="center"/>
        <w:rPr>
          <w:rFonts w:eastAsia="Calibri"/>
          <w:u w:val="single"/>
        </w:rPr>
      </w:pPr>
      <w:r w:rsidRPr="008F6C41">
        <w:rPr>
          <w:rFonts w:eastAsia="Calibri"/>
          <w:u w:val="single"/>
        </w:rPr>
        <w:t>Resolutions Committee 2017-18</w:t>
      </w:r>
    </w:p>
    <w:p w14:paraId="6394215B" w14:textId="77777777" w:rsidR="002F6FE3" w:rsidRPr="008F6C41" w:rsidRDefault="002F6FE3" w:rsidP="005C4E7D">
      <w:pPr>
        <w:jc w:val="center"/>
        <w:rPr>
          <w:rFonts w:eastAsia="Calibri"/>
        </w:rPr>
      </w:pPr>
      <w:r w:rsidRPr="008F6C41">
        <w:rPr>
          <w:rFonts w:eastAsia="Calibri"/>
        </w:rPr>
        <w:t>(as of June 2017)</w:t>
      </w:r>
    </w:p>
    <w:p w14:paraId="44D09EFD" w14:textId="77777777" w:rsidR="002F6FE3" w:rsidRPr="008F6C41" w:rsidRDefault="002F6FE3" w:rsidP="005C4E7D">
      <w:pPr>
        <w:jc w:val="center"/>
        <w:rPr>
          <w:rFonts w:eastAsia="Calibri"/>
        </w:rPr>
      </w:pPr>
      <w:r w:rsidRPr="008F6C41">
        <w:rPr>
          <w:rFonts w:eastAsia="Calibri"/>
        </w:rPr>
        <w:t>Ginni May, ASCCC Area A Representative (Chair)</w:t>
      </w:r>
    </w:p>
    <w:p w14:paraId="12701E37" w14:textId="77777777" w:rsidR="002F6FE3" w:rsidRPr="008F6C41" w:rsidRDefault="002F6FE3" w:rsidP="005C4E7D">
      <w:pPr>
        <w:jc w:val="center"/>
        <w:rPr>
          <w:rFonts w:eastAsia="Calibri"/>
        </w:rPr>
      </w:pPr>
      <w:r w:rsidRPr="008F6C41">
        <w:rPr>
          <w:rFonts w:eastAsia="Calibri"/>
        </w:rPr>
        <w:t xml:space="preserve">Rebecca </w:t>
      </w:r>
      <w:proofErr w:type="spellStart"/>
      <w:r w:rsidRPr="008F6C41">
        <w:rPr>
          <w:rFonts w:eastAsia="Calibri"/>
        </w:rPr>
        <w:t>Eikey</w:t>
      </w:r>
      <w:proofErr w:type="spellEnd"/>
      <w:r w:rsidRPr="008F6C41">
        <w:rPr>
          <w:rFonts w:eastAsia="Calibri"/>
        </w:rPr>
        <w:t>, ASCCC Area C Representative</w:t>
      </w:r>
    </w:p>
    <w:p w14:paraId="6E95675A" w14:textId="74AAD5D6" w:rsidR="00725F3D" w:rsidRPr="008F6C41" w:rsidRDefault="00725F3D" w:rsidP="005C4E7D">
      <w:pPr>
        <w:rPr>
          <w:rFonts w:eastAsia="Calibri"/>
        </w:rPr>
      </w:pPr>
      <w:r w:rsidRPr="008F6C41">
        <w:rPr>
          <w:rFonts w:eastAsia="Calibri"/>
        </w:rPr>
        <w:br w:type="page"/>
      </w:r>
    </w:p>
    <w:p w14:paraId="7243D056" w14:textId="1F2E0CB2" w:rsidR="002F6FE3" w:rsidRPr="008F6C41" w:rsidRDefault="005C4E7D" w:rsidP="005C4E7D">
      <w:pPr>
        <w:jc w:val="center"/>
        <w:rPr>
          <w:rFonts w:eastAsia="Calibri"/>
        </w:rPr>
      </w:pPr>
      <w:r w:rsidRPr="008F6C41">
        <w:rPr>
          <w:rFonts w:eastAsia="Calibri"/>
        </w:rPr>
        <w:lastRenderedPageBreak/>
        <w:t>RESOLUTIONS PROCESS</w:t>
      </w:r>
    </w:p>
    <w:p w14:paraId="4C5CCCEA" w14:textId="77777777" w:rsidR="005C4E7D" w:rsidRPr="008F6C41" w:rsidRDefault="005C4E7D" w:rsidP="005C4E7D">
      <w:pPr>
        <w:rPr>
          <w:rFonts w:eastAsia="Calibri"/>
        </w:rPr>
      </w:pPr>
    </w:p>
    <w:p w14:paraId="2440729C" w14:textId="1081481D" w:rsidR="005C4E7D" w:rsidRPr="008F6C41" w:rsidRDefault="005C4E7D" w:rsidP="005C4E7D">
      <w:r w:rsidRPr="008F6C41">
        <w:t>In order to ensure that deliberations are organized, effective, and meaningful, the Academic Senate uses the following resolution procedure:</w:t>
      </w:r>
    </w:p>
    <w:p w14:paraId="577986B0" w14:textId="77777777" w:rsidR="005C4E7D" w:rsidRPr="008F6C41" w:rsidRDefault="005C4E7D" w:rsidP="005C4E7D"/>
    <w:p w14:paraId="6C30FABB" w14:textId="77777777" w:rsidR="005C4E7D" w:rsidRPr="008F6C41" w:rsidRDefault="005C4E7D" w:rsidP="005C4E7D">
      <w:pPr>
        <w:numPr>
          <w:ilvl w:val="0"/>
          <w:numId w:val="2"/>
        </w:numPr>
      </w:pPr>
      <w:r w:rsidRPr="008F6C41">
        <w:t xml:space="preserve">Pre-session resolutions are developed by the Executive Committee (through its committees) and submitted to the Pre-Session Area Meetings for review. </w:t>
      </w:r>
    </w:p>
    <w:p w14:paraId="2E0FCE3F" w14:textId="77777777" w:rsidR="005C4E7D" w:rsidRPr="008F6C41" w:rsidRDefault="005C4E7D" w:rsidP="005C4E7D">
      <w:pPr>
        <w:numPr>
          <w:ilvl w:val="0"/>
          <w:numId w:val="2"/>
        </w:numPr>
      </w:pPr>
      <w:r w:rsidRPr="008F6C41">
        <w:t>Amendments and new pre-session resolutions are generated in the Area Meetings.</w:t>
      </w:r>
    </w:p>
    <w:p w14:paraId="2F681989" w14:textId="77777777" w:rsidR="005C4E7D" w:rsidRPr="008F6C41" w:rsidRDefault="005C4E7D" w:rsidP="005C4E7D">
      <w:pPr>
        <w:numPr>
          <w:ilvl w:val="0"/>
          <w:numId w:val="2"/>
        </w:numPr>
      </w:pPr>
      <w:r w:rsidRPr="008F6C41">
        <w:t>The Resolutions Committee meets to review all pre-session resolutions and combine, re-word, append, or render moot these resolutions as necessary.</w:t>
      </w:r>
    </w:p>
    <w:p w14:paraId="47A85DA8" w14:textId="77777777" w:rsidR="005C4E7D" w:rsidRPr="008F6C41" w:rsidRDefault="005C4E7D" w:rsidP="005C4E7D">
      <w:pPr>
        <w:numPr>
          <w:ilvl w:val="0"/>
          <w:numId w:val="2"/>
        </w:numPr>
      </w:pPr>
      <w:r w:rsidRPr="008F6C41">
        <w:t>Members of the Senate meet during the session in topic breakouts and give thoughtful consideration to the need for new resolutions and/or amendments.</w:t>
      </w:r>
    </w:p>
    <w:p w14:paraId="211DDB69" w14:textId="77777777" w:rsidR="005C4E7D" w:rsidRPr="008F6C41" w:rsidRDefault="005C4E7D" w:rsidP="005C4E7D">
      <w:pPr>
        <w:numPr>
          <w:ilvl w:val="0"/>
          <w:numId w:val="2"/>
        </w:numPr>
      </w:pPr>
      <w:r w:rsidRPr="008F6C41">
        <w:t>After all Session presentations are finished each day, members meet during the resolution breakouts to discuss the need for new resolutions and/or amendments.  Each resolution or amendment must be submitted to the Resolutions Chair before the posted deadlines each day.  There are also Area meetings at the Session for discussing, writing, or amending resolutions.</w:t>
      </w:r>
    </w:p>
    <w:p w14:paraId="11771BC5" w14:textId="1F312A8B" w:rsidR="005C4E7D" w:rsidRPr="008F6C41" w:rsidRDefault="005C4E7D" w:rsidP="005C4E7D">
      <w:pPr>
        <w:numPr>
          <w:ilvl w:val="0"/>
          <w:numId w:val="2"/>
        </w:numPr>
      </w:pPr>
      <w:r w:rsidRPr="008F6C41">
        <w:t>New resolutions submitted on the second day of session are held to the next session unless the resolution is declared urgent.</w:t>
      </w:r>
    </w:p>
    <w:p w14:paraId="21711921" w14:textId="77777777" w:rsidR="005C4E7D" w:rsidRPr="008F6C41" w:rsidRDefault="005C4E7D" w:rsidP="005C4E7D">
      <w:pPr>
        <w:numPr>
          <w:ilvl w:val="0"/>
          <w:numId w:val="2"/>
        </w:numPr>
      </w:pPr>
      <w:r w:rsidRPr="008F6C41">
        <w:t>The Resolutions Committee meets again to review all resolutions and amendments and to combine, re-word, append, or render moot the resolutions as necessary.</w:t>
      </w:r>
    </w:p>
    <w:p w14:paraId="0ADDC22F" w14:textId="77777777" w:rsidR="005C4E7D" w:rsidRPr="008F6C41" w:rsidRDefault="005C4E7D" w:rsidP="005C4E7D">
      <w:pPr>
        <w:numPr>
          <w:ilvl w:val="0"/>
          <w:numId w:val="2"/>
        </w:numPr>
      </w:pPr>
      <w:r w:rsidRPr="008F6C41">
        <w:t>The resolutions are debated and voted upon in the general sessions on the last day of the Plenary Session.</w:t>
      </w:r>
    </w:p>
    <w:p w14:paraId="786F4B94" w14:textId="77777777" w:rsidR="005C4E7D" w:rsidRPr="008F6C41" w:rsidRDefault="005C4E7D" w:rsidP="005C4E7D">
      <w:pPr>
        <w:numPr>
          <w:ilvl w:val="0"/>
          <w:numId w:val="2"/>
        </w:numPr>
      </w:pPr>
      <w:r w:rsidRPr="008F6C41">
        <w:t>All appendices are available on the ASCCC website.</w:t>
      </w:r>
    </w:p>
    <w:p w14:paraId="60B36A0B" w14:textId="77777777" w:rsidR="005C4E7D" w:rsidRPr="008F6C41" w:rsidRDefault="005C4E7D" w:rsidP="005C4E7D">
      <w:pPr>
        <w:rPr>
          <w:rFonts w:eastAsia="Calibri"/>
          <w:i/>
          <w:sz w:val="32"/>
          <w:szCs w:val="32"/>
        </w:rPr>
      </w:pPr>
    </w:p>
    <w:p w14:paraId="5DF81CCF" w14:textId="77777777" w:rsidR="005C4E7D" w:rsidRPr="008F6C41" w:rsidRDefault="005C4E7D" w:rsidP="005C4E7D">
      <w:pPr>
        <w:rPr>
          <w:bCs/>
        </w:rPr>
      </w:pPr>
      <w:r w:rsidRPr="008F6C41">
        <w:rPr>
          <w:bCs/>
        </w:rPr>
        <w:t>Prior to plenary session, it is each attendee’s responsibility to read the following documents:</w:t>
      </w:r>
    </w:p>
    <w:p w14:paraId="127611DC" w14:textId="77777777" w:rsidR="005C4E7D" w:rsidRPr="008F6C41" w:rsidRDefault="005C4E7D" w:rsidP="005C4E7D">
      <w:pPr>
        <w:rPr>
          <w:bCs/>
        </w:rPr>
      </w:pPr>
    </w:p>
    <w:p w14:paraId="5697E489" w14:textId="77777777" w:rsidR="005C4E7D" w:rsidRPr="008F6C41" w:rsidRDefault="005C4E7D" w:rsidP="005C4E7D">
      <w:pPr>
        <w:pStyle w:val="ListParagraph"/>
        <w:numPr>
          <w:ilvl w:val="0"/>
          <w:numId w:val="3"/>
        </w:numPr>
        <w:rPr>
          <w:bCs/>
        </w:rPr>
      </w:pPr>
      <w:r w:rsidRPr="008F6C41">
        <w:rPr>
          <w:bCs/>
        </w:rPr>
        <w:t>Senate Delegate Roles and Responsibilities</w:t>
      </w:r>
    </w:p>
    <w:p w14:paraId="1C273DC7" w14:textId="77777777" w:rsidR="005C4E7D" w:rsidRPr="008F6C41" w:rsidRDefault="005C4E7D" w:rsidP="005C4E7D">
      <w:pPr>
        <w:pStyle w:val="ListParagraph"/>
        <w:numPr>
          <w:ilvl w:val="0"/>
          <w:numId w:val="3"/>
        </w:numPr>
        <w:rPr>
          <w:bCs/>
        </w:rPr>
      </w:pPr>
      <w:r w:rsidRPr="008F6C41">
        <w:rPr>
          <w:bCs/>
        </w:rPr>
        <w:t>Plenary Session Resolution Procedures</w:t>
      </w:r>
    </w:p>
    <w:p w14:paraId="2879C540" w14:textId="77777777" w:rsidR="005C4E7D" w:rsidRPr="008F6C41" w:rsidRDefault="005C4E7D" w:rsidP="005C4E7D">
      <w:pPr>
        <w:pStyle w:val="ListParagraph"/>
        <w:numPr>
          <w:ilvl w:val="0"/>
          <w:numId w:val="3"/>
        </w:numPr>
        <w:rPr>
          <w:bCs/>
        </w:rPr>
      </w:pPr>
      <w:r w:rsidRPr="008F6C41">
        <w:rPr>
          <w:bCs/>
        </w:rPr>
        <w:t>Resolution Writing and General Advice</w:t>
      </w:r>
    </w:p>
    <w:p w14:paraId="6290E670" w14:textId="77777777" w:rsidR="005C4E7D" w:rsidRPr="008F6C41" w:rsidRDefault="005C4E7D" w:rsidP="005C4E7D">
      <w:pPr>
        <w:rPr>
          <w:bCs/>
        </w:rPr>
      </w:pPr>
    </w:p>
    <w:p w14:paraId="6BE54DBF" w14:textId="77777777" w:rsidR="005C4E7D" w:rsidRPr="008F6C41" w:rsidRDefault="005C4E7D" w:rsidP="005C4E7D">
      <w:pPr>
        <w:sectPr w:rsidR="005C4E7D" w:rsidRPr="008F6C41" w:rsidSect="00C856EB">
          <w:headerReference w:type="default" r:id="rId9"/>
          <w:footerReference w:type="even" r:id="rId10"/>
          <w:footerReference w:type="default" r:id="rId11"/>
          <w:pgSz w:w="12240" w:h="15840"/>
          <w:pgMar w:top="1440" w:right="1800" w:bottom="1440" w:left="1800" w:header="720" w:footer="720" w:gutter="0"/>
          <w:pgNumType w:fmt="lowerRoman" w:start="1"/>
          <w:cols w:space="720"/>
          <w:titlePg/>
        </w:sectPr>
      </w:pPr>
      <w:r w:rsidRPr="008F6C41">
        <w:rPr>
          <w:bCs/>
        </w:rPr>
        <w:t>New delegates are strongly encouraged to attend the New Delegate Orientation on Thursday morning prior to the first breakout session.</w:t>
      </w:r>
    </w:p>
    <w:p w14:paraId="3C39C840" w14:textId="6EC472E4" w:rsidR="005C4E7D" w:rsidRPr="003635A1" w:rsidRDefault="005C4E7D" w:rsidP="005C4E7D">
      <w:pPr>
        <w:jc w:val="center"/>
        <w:rPr>
          <w:b/>
        </w:rPr>
      </w:pPr>
      <w:r w:rsidRPr="003635A1">
        <w:rPr>
          <w:b/>
        </w:rPr>
        <w:t>CONSENT CALENDAR</w:t>
      </w:r>
    </w:p>
    <w:p w14:paraId="0FC40A1B" w14:textId="77777777" w:rsidR="005C4E7D" w:rsidRPr="008F6C41" w:rsidRDefault="005C4E7D" w:rsidP="005C4E7D"/>
    <w:p w14:paraId="56E48A47" w14:textId="77777777" w:rsidR="005C4E7D" w:rsidRPr="008F6C41" w:rsidRDefault="005C4E7D" w:rsidP="005C4E7D">
      <w:r w:rsidRPr="008F6C41">
        <w:t xml:space="preserve">The resolutions that have been placed on the Consent Calendar 1) were believed to be noncontroversial, 2) do not potentially reverse a previous position and 3) do not compete with another proposed resolution. Resolutions that meet these criteria and any subsequent clarifying amendments have been included on the Consent Calendar. To remove a resolution from the Consent Calendar, please see the Consent Calendar section of the </w:t>
      </w:r>
      <w:r w:rsidRPr="008F6C41">
        <w:rPr>
          <w:i/>
        </w:rPr>
        <w:t>Resolution Procedures for the Plenary Session</w:t>
      </w:r>
      <w:r w:rsidRPr="008F6C41">
        <w:t xml:space="preserve">. </w:t>
      </w:r>
    </w:p>
    <w:p w14:paraId="4B0F47C0" w14:textId="77777777" w:rsidR="005C4E7D" w:rsidRPr="008F6C41" w:rsidRDefault="005C4E7D" w:rsidP="005C4E7D">
      <w:pPr>
        <w:rPr>
          <w:rFonts w:eastAsia="Calibri"/>
        </w:rPr>
      </w:pPr>
    </w:p>
    <w:p w14:paraId="2E9C6177" w14:textId="499C566B" w:rsidR="002F6FE3" w:rsidRPr="008F6C41" w:rsidRDefault="003F3B57" w:rsidP="005C4E7D">
      <w:pPr>
        <w:rPr>
          <w:rFonts w:eastAsia="Calibri"/>
        </w:rPr>
      </w:pPr>
      <w:r w:rsidRPr="008F6C41">
        <w:rPr>
          <w:rFonts w:eastAsia="Calibri"/>
        </w:rPr>
        <w:t>Consent Calendar resolutions and amendments are marked with an *.</w:t>
      </w:r>
    </w:p>
    <w:p w14:paraId="64DE9238" w14:textId="77777777" w:rsidR="003F3B57" w:rsidRPr="008F6C41" w:rsidRDefault="003F3B57" w:rsidP="005C4E7D">
      <w:pPr>
        <w:rPr>
          <w:rFonts w:eastAsia="Calibri"/>
        </w:rPr>
      </w:pPr>
    </w:p>
    <w:p w14:paraId="2C935F96" w14:textId="77777777" w:rsidR="0069419E" w:rsidRPr="0064460E" w:rsidRDefault="0069419E" w:rsidP="0069419E">
      <w:r w:rsidRPr="0064460E">
        <w:t>*3.01 M17</w:t>
      </w:r>
      <w:r w:rsidRPr="0064460E">
        <w:tab/>
        <w:t>Equity and Diversity in Hiring Practices</w:t>
      </w:r>
    </w:p>
    <w:p w14:paraId="45ADC669" w14:textId="086900B4" w:rsidR="0064460E" w:rsidRPr="0064460E" w:rsidRDefault="0064460E" w:rsidP="0064460E">
      <w:r w:rsidRPr="0064460E">
        <w:t xml:space="preserve">*3.02 M17 </w:t>
      </w:r>
      <w:r w:rsidR="00330BF3">
        <w:tab/>
      </w:r>
      <w:r w:rsidRPr="0064460E">
        <w:t xml:space="preserve">Gender Equity Resolution </w:t>
      </w:r>
    </w:p>
    <w:p w14:paraId="7A110975" w14:textId="3F4CB170" w:rsidR="0064460E" w:rsidRPr="0064460E" w:rsidRDefault="0064460E" w:rsidP="0064460E">
      <w:r w:rsidRPr="0064460E">
        <w:t xml:space="preserve">*6.01 M17 </w:t>
      </w:r>
      <w:r w:rsidR="00330BF3">
        <w:tab/>
      </w:r>
      <w:r w:rsidRPr="0064460E">
        <w:t xml:space="preserve">Expansion of Dual Enrollment Opportunities </w:t>
      </w:r>
    </w:p>
    <w:p w14:paraId="18907DE1" w14:textId="1693D331" w:rsidR="0064460E" w:rsidRPr="0064460E" w:rsidRDefault="0064460E" w:rsidP="0064460E">
      <w:r w:rsidRPr="0064460E">
        <w:t xml:space="preserve">*10.01 </w:t>
      </w:r>
      <w:r w:rsidR="00330BF3">
        <w:t>M17</w:t>
      </w:r>
      <w:r w:rsidR="00330BF3">
        <w:tab/>
      </w:r>
      <w:r w:rsidRPr="0064460E">
        <w:t>Amend Minimum Qualifications for Reading</w:t>
      </w:r>
    </w:p>
    <w:p w14:paraId="7E491847" w14:textId="3B116882" w:rsidR="0064460E" w:rsidRPr="0064460E" w:rsidRDefault="0064460E" w:rsidP="0064460E">
      <w:r w:rsidRPr="0064460E">
        <w:t xml:space="preserve">*12.01 M17 </w:t>
      </w:r>
      <w:r w:rsidR="00330BF3">
        <w:tab/>
      </w:r>
      <w:r w:rsidRPr="0064460E">
        <w:t>Support for Faculty Leadership Training </w:t>
      </w:r>
    </w:p>
    <w:p w14:paraId="63A051A3" w14:textId="4019CB9A" w:rsidR="0064460E" w:rsidRPr="0064460E" w:rsidRDefault="0064460E" w:rsidP="0064460E">
      <w:r w:rsidRPr="0064460E">
        <w:t xml:space="preserve">*13.01 M17 </w:t>
      </w:r>
      <w:r w:rsidR="00330BF3">
        <w:tab/>
      </w:r>
      <w:r w:rsidRPr="0064460E">
        <w:t>Dietary Equity and Access to Quality Plenary and Institute Dining</w:t>
      </w:r>
    </w:p>
    <w:p w14:paraId="59DA510E" w14:textId="38A4B3C1" w:rsidR="0064460E" w:rsidRPr="0064460E" w:rsidRDefault="0064460E" w:rsidP="0064460E">
      <w:r w:rsidRPr="0064460E">
        <w:t xml:space="preserve">*13.02 M17 </w:t>
      </w:r>
      <w:r w:rsidR="00330BF3">
        <w:tab/>
      </w:r>
      <w:r w:rsidRPr="0064460E">
        <w:t>Achieving Good Vibes</w:t>
      </w:r>
    </w:p>
    <w:p w14:paraId="61D3B943" w14:textId="493C1386" w:rsidR="0064460E" w:rsidRPr="0064460E" w:rsidRDefault="0064460E" w:rsidP="0064460E">
      <w:r w:rsidRPr="0064460E">
        <w:t>*13.03 M17</w:t>
      </w:r>
      <w:r w:rsidR="00330BF3">
        <w:tab/>
      </w:r>
      <w:r w:rsidRPr="0064460E">
        <w:t>Recommendations for Financial Recovery Plan</w:t>
      </w:r>
    </w:p>
    <w:p w14:paraId="1A22A512" w14:textId="20C5C663" w:rsidR="0064460E" w:rsidRPr="0064460E" w:rsidRDefault="0064460E" w:rsidP="0064460E">
      <w:r w:rsidRPr="0064460E">
        <w:t xml:space="preserve">*13.04 M17 </w:t>
      </w:r>
      <w:r w:rsidR="00330BF3">
        <w:tab/>
      </w:r>
      <w:r w:rsidRPr="0064460E">
        <w:t>Renaming Office Hours to Student Support Hours</w:t>
      </w:r>
    </w:p>
    <w:p w14:paraId="2D1E99FF" w14:textId="5E587B1C" w:rsidR="00EA1141" w:rsidRDefault="0064460E" w:rsidP="0064460E">
      <w:r w:rsidRPr="0064460E">
        <w:t xml:space="preserve">*15.01 M17 </w:t>
      </w:r>
      <w:r w:rsidR="00330BF3">
        <w:tab/>
      </w:r>
      <w:r w:rsidRPr="0064460E">
        <w:t xml:space="preserve">Inclusion of Studio and Performing Art Courses in General Education for </w:t>
      </w:r>
    </w:p>
    <w:p w14:paraId="4C13BFD9" w14:textId="0377D564" w:rsidR="0064460E" w:rsidRPr="0064460E" w:rsidRDefault="00EA1141" w:rsidP="0064460E">
      <w:r>
        <w:tab/>
      </w:r>
      <w:r>
        <w:tab/>
      </w:r>
      <w:r w:rsidR="00330BF3">
        <w:tab/>
      </w:r>
      <w:r w:rsidR="0064460E" w:rsidRPr="0064460E">
        <w:t>CSU and UC</w:t>
      </w:r>
    </w:p>
    <w:p w14:paraId="5111AEF6" w14:textId="2742063E" w:rsidR="0064460E" w:rsidRPr="0064460E" w:rsidRDefault="0064460E" w:rsidP="0064460E">
      <w:r w:rsidRPr="0064460E">
        <w:t>*17.01 M17</w:t>
      </w:r>
      <w:r w:rsidR="00330BF3">
        <w:tab/>
      </w:r>
      <w:r w:rsidRPr="0064460E">
        <w:t xml:space="preserve"> Believe in the Power of Dance</w:t>
      </w:r>
    </w:p>
    <w:p w14:paraId="58D405E5" w14:textId="2AF632BF" w:rsidR="0064460E" w:rsidRPr="0064460E" w:rsidRDefault="0064460E" w:rsidP="0064460E">
      <w:r w:rsidRPr="0064460E">
        <w:t xml:space="preserve">*17.02 M17 </w:t>
      </w:r>
      <w:r w:rsidR="00330BF3">
        <w:tab/>
      </w:r>
      <w:r w:rsidRPr="0064460E">
        <w:t>Naptime Spaces</w:t>
      </w:r>
    </w:p>
    <w:p w14:paraId="79B4E2CB" w14:textId="42058208" w:rsidR="0064460E" w:rsidRPr="0064460E" w:rsidRDefault="0064460E" w:rsidP="0064460E">
      <w:r w:rsidRPr="0064460E">
        <w:t>*17.03 M17</w:t>
      </w:r>
      <w:r w:rsidR="00330BF3">
        <w:tab/>
      </w:r>
      <w:r w:rsidRPr="0064460E">
        <w:t xml:space="preserve"> Develop a Paper on Effective Practices of Academic Senate Participation in </w:t>
      </w:r>
      <w:r w:rsidR="00EA1141">
        <w:tab/>
      </w:r>
      <w:r w:rsidR="00EA1141">
        <w:tab/>
      </w:r>
      <w:r w:rsidR="00EA1141">
        <w:tab/>
      </w:r>
      <w:r w:rsidR="00EA1141">
        <w:tab/>
      </w:r>
      <w:r w:rsidRPr="0064460E">
        <w:t>Academic Administrator Hiring Processes</w:t>
      </w:r>
    </w:p>
    <w:p w14:paraId="4057B2D9" w14:textId="685A5308" w:rsidR="0064460E" w:rsidRPr="0064460E" w:rsidRDefault="0064460E" w:rsidP="0064460E">
      <w:r w:rsidRPr="0064460E">
        <w:t xml:space="preserve">*17.02 M17 </w:t>
      </w:r>
      <w:r w:rsidR="00330BF3">
        <w:tab/>
      </w:r>
      <w:r w:rsidRPr="0064460E">
        <w:t>Equity for Lecture and Laboratory Instruction</w:t>
      </w:r>
    </w:p>
    <w:p w14:paraId="1A41268C" w14:textId="77777777" w:rsidR="00590791" w:rsidRPr="00724B10" w:rsidRDefault="00590791" w:rsidP="00724B10">
      <w:pPr>
        <w:pStyle w:val="Heading1"/>
      </w:pPr>
      <w:r>
        <w:br w:type="page"/>
      </w:r>
    </w:p>
    <w:sdt>
      <w:sdtPr>
        <w:rPr>
          <w:rFonts w:ascii="Times New Roman" w:eastAsiaTheme="minorEastAsia" w:hAnsi="Times New Roman" w:cs="Times New Roman"/>
          <w:b w:val="0"/>
          <w:bCs w:val="0"/>
          <w:color w:val="auto"/>
          <w:sz w:val="24"/>
          <w:szCs w:val="24"/>
        </w:rPr>
        <w:id w:val="-1704474434"/>
        <w:docPartObj>
          <w:docPartGallery w:val="Table of Contents"/>
          <w:docPartUnique/>
        </w:docPartObj>
      </w:sdtPr>
      <w:sdtEndPr>
        <w:rPr>
          <w:noProof/>
        </w:rPr>
      </w:sdtEndPr>
      <w:sdtContent>
        <w:p w14:paraId="1CE7A6C7" w14:textId="069CECC6" w:rsidR="00DC06C6" w:rsidRPr="00DC06C6" w:rsidRDefault="00DC06C6">
          <w:pPr>
            <w:pStyle w:val="TOCHeading"/>
            <w:rPr>
              <w:rFonts w:ascii="Times New Roman" w:hAnsi="Times New Roman" w:cs="Times New Roman"/>
              <w:color w:val="auto"/>
            </w:rPr>
          </w:pPr>
          <w:r w:rsidRPr="00DC06C6">
            <w:rPr>
              <w:rFonts w:ascii="Times New Roman" w:hAnsi="Times New Roman" w:cs="Times New Roman"/>
              <w:color w:val="auto"/>
            </w:rPr>
            <w:t>Table of Contents</w:t>
          </w:r>
        </w:p>
        <w:p w14:paraId="2391339F" w14:textId="77777777" w:rsidR="00724B10" w:rsidRDefault="00DC06C6">
          <w:pPr>
            <w:pStyle w:val="TOC1"/>
            <w:tabs>
              <w:tab w:val="right" w:leader="dot" w:pos="9350"/>
            </w:tabs>
            <w:rPr>
              <w:b w:val="0"/>
              <w:noProof/>
              <w:lang w:eastAsia="ja-JP"/>
            </w:rPr>
          </w:pPr>
          <w:r>
            <w:fldChar w:fldCharType="begin"/>
          </w:r>
          <w:r w:rsidRPr="00661F18">
            <w:instrText xml:space="preserve"> TOC \o "1-3" \h \z \u </w:instrText>
          </w:r>
          <w:r>
            <w:fldChar w:fldCharType="separate"/>
          </w:r>
          <w:r w:rsidR="00724B10">
            <w:rPr>
              <w:noProof/>
            </w:rPr>
            <w:t>3.0 DIVERSITY AND EQUITY</w:t>
          </w:r>
          <w:r w:rsidR="00724B10">
            <w:rPr>
              <w:noProof/>
            </w:rPr>
            <w:tab/>
          </w:r>
          <w:r w:rsidR="00724B10">
            <w:rPr>
              <w:noProof/>
            </w:rPr>
            <w:fldChar w:fldCharType="begin"/>
          </w:r>
          <w:r w:rsidR="00724B10">
            <w:rPr>
              <w:noProof/>
            </w:rPr>
            <w:instrText xml:space="preserve"> PAGEREF _Toc359180139 \h </w:instrText>
          </w:r>
          <w:r w:rsidR="00724B10">
            <w:rPr>
              <w:noProof/>
            </w:rPr>
          </w:r>
          <w:r w:rsidR="00724B10">
            <w:rPr>
              <w:noProof/>
            </w:rPr>
            <w:fldChar w:fldCharType="separate"/>
          </w:r>
          <w:r w:rsidR="00724B10">
            <w:rPr>
              <w:noProof/>
            </w:rPr>
            <w:t>2</w:t>
          </w:r>
          <w:r w:rsidR="00724B10">
            <w:rPr>
              <w:noProof/>
            </w:rPr>
            <w:fldChar w:fldCharType="end"/>
          </w:r>
        </w:p>
        <w:p w14:paraId="14761DC0" w14:textId="1DC02524" w:rsidR="00724B10" w:rsidRPr="00C856EB" w:rsidRDefault="00724B10" w:rsidP="00C856EB">
          <w:pPr>
            <w:pStyle w:val="TOC2"/>
            <w:rPr>
              <w:sz w:val="24"/>
              <w:szCs w:val="24"/>
              <w:lang w:eastAsia="ja-JP"/>
            </w:rPr>
          </w:pPr>
          <w:r w:rsidRPr="00C856EB">
            <w:t>*3.01 M17</w:t>
          </w:r>
          <w:r w:rsidR="00C856EB">
            <w:rPr>
              <w:sz w:val="24"/>
              <w:szCs w:val="24"/>
              <w:lang w:eastAsia="ja-JP"/>
            </w:rPr>
            <w:t xml:space="preserve"> </w:t>
          </w:r>
          <w:r w:rsidRPr="00C856EB">
            <w:t>Equity and Diversity in Hiring Practices</w:t>
          </w:r>
          <w:r w:rsidRPr="00C856EB">
            <w:tab/>
          </w:r>
          <w:r w:rsidRPr="00C856EB">
            <w:fldChar w:fldCharType="begin"/>
          </w:r>
          <w:r w:rsidRPr="00C856EB">
            <w:instrText xml:space="preserve"> PAGEREF _Toc359180140 \h </w:instrText>
          </w:r>
          <w:r w:rsidRPr="00C856EB">
            <w:fldChar w:fldCharType="separate"/>
          </w:r>
          <w:r w:rsidRPr="00C856EB">
            <w:t>2</w:t>
          </w:r>
          <w:r w:rsidRPr="00C856EB">
            <w:fldChar w:fldCharType="end"/>
          </w:r>
        </w:p>
        <w:p w14:paraId="12601111" w14:textId="77777777" w:rsidR="00724B10" w:rsidRPr="00C856EB" w:rsidRDefault="00724B10" w:rsidP="00C856EB">
          <w:pPr>
            <w:pStyle w:val="TOC2"/>
            <w:rPr>
              <w:sz w:val="24"/>
              <w:szCs w:val="24"/>
              <w:lang w:eastAsia="ja-JP"/>
            </w:rPr>
          </w:pPr>
          <w:r w:rsidRPr="00C856EB">
            <w:t>*3.02 M17 Gender Equity Resolution</w:t>
          </w:r>
          <w:r w:rsidRPr="00C856EB">
            <w:tab/>
          </w:r>
          <w:r w:rsidRPr="00C856EB">
            <w:fldChar w:fldCharType="begin"/>
          </w:r>
          <w:r w:rsidRPr="00C856EB">
            <w:instrText xml:space="preserve"> PAGEREF _Toc359180141 \h </w:instrText>
          </w:r>
          <w:r w:rsidRPr="00C856EB">
            <w:fldChar w:fldCharType="separate"/>
          </w:r>
          <w:r w:rsidRPr="00C856EB">
            <w:t>2</w:t>
          </w:r>
          <w:r w:rsidRPr="00C856EB">
            <w:fldChar w:fldCharType="end"/>
          </w:r>
        </w:p>
        <w:p w14:paraId="0A7B6324" w14:textId="77777777" w:rsidR="00724B10" w:rsidRDefault="00724B10">
          <w:pPr>
            <w:pStyle w:val="TOC1"/>
            <w:tabs>
              <w:tab w:val="right" w:leader="dot" w:pos="9350"/>
            </w:tabs>
            <w:rPr>
              <w:b w:val="0"/>
              <w:noProof/>
              <w:lang w:eastAsia="ja-JP"/>
            </w:rPr>
          </w:pPr>
          <w:r>
            <w:rPr>
              <w:noProof/>
            </w:rPr>
            <w:t>6.0 State and Legislative Issues</w:t>
          </w:r>
          <w:r>
            <w:rPr>
              <w:noProof/>
            </w:rPr>
            <w:tab/>
          </w:r>
          <w:r>
            <w:rPr>
              <w:noProof/>
            </w:rPr>
            <w:fldChar w:fldCharType="begin"/>
          </w:r>
          <w:r>
            <w:rPr>
              <w:noProof/>
            </w:rPr>
            <w:instrText xml:space="preserve"> PAGEREF _Toc359180142 \h </w:instrText>
          </w:r>
          <w:r>
            <w:rPr>
              <w:noProof/>
            </w:rPr>
          </w:r>
          <w:r>
            <w:rPr>
              <w:noProof/>
            </w:rPr>
            <w:fldChar w:fldCharType="separate"/>
          </w:r>
          <w:r>
            <w:rPr>
              <w:noProof/>
            </w:rPr>
            <w:t>3</w:t>
          </w:r>
          <w:r>
            <w:rPr>
              <w:noProof/>
            </w:rPr>
            <w:fldChar w:fldCharType="end"/>
          </w:r>
        </w:p>
        <w:p w14:paraId="3A9704C4" w14:textId="77777777" w:rsidR="00724B10" w:rsidRPr="00C856EB" w:rsidRDefault="00724B10" w:rsidP="00C856EB">
          <w:pPr>
            <w:pStyle w:val="TOC2"/>
            <w:rPr>
              <w:sz w:val="24"/>
              <w:szCs w:val="24"/>
              <w:lang w:eastAsia="ja-JP"/>
            </w:rPr>
          </w:pPr>
          <w:r w:rsidRPr="00C856EB">
            <w:t>*6.01 M17 Expansion of Dual Enrollment Opportunities</w:t>
          </w:r>
          <w:r w:rsidRPr="00C856EB">
            <w:tab/>
          </w:r>
          <w:r w:rsidRPr="00C856EB">
            <w:fldChar w:fldCharType="begin"/>
          </w:r>
          <w:r w:rsidRPr="00C856EB">
            <w:instrText xml:space="preserve"> PAGEREF _Toc359180143 \h </w:instrText>
          </w:r>
          <w:r w:rsidRPr="00C856EB">
            <w:fldChar w:fldCharType="separate"/>
          </w:r>
          <w:r w:rsidRPr="00C856EB">
            <w:t>3</w:t>
          </w:r>
          <w:r w:rsidRPr="00C856EB">
            <w:fldChar w:fldCharType="end"/>
          </w:r>
        </w:p>
        <w:p w14:paraId="4E9E9EE1" w14:textId="77777777" w:rsidR="00724B10" w:rsidRDefault="00724B10">
          <w:pPr>
            <w:pStyle w:val="TOC1"/>
            <w:tabs>
              <w:tab w:val="right" w:leader="dot" w:pos="9350"/>
            </w:tabs>
            <w:rPr>
              <w:b w:val="0"/>
              <w:noProof/>
              <w:lang w:eastAsia="ja-JP"/>
            </w:rPr>
          </w:pPr>
          <w:r>
            <w:rPr>
              <w:noProof/>
            </w:rPr>
            <w:t>10.0 Disciplines List</w:t>
          </w:r>
          <w:r>
            <w:rPr>
              <w:noProof/>
            </w:rPr>
            <w:tab/>
          </w:r>
          <w:r>
            <w:rPr>
              <w:noProof/>
            </w:rPr>
            <w:fldChar w:fldCharType="begin"/>
          </w:r>
          <w:r>
            <w:rPr>
              <w:noProof/>
            </w:rPr>
            <w:instrText xml:space="preserve"> PAGEREF _Toc359180144 \h </w:instrText>
          </w:r>
          <w:r>
            <w:rPr>
              <w:noProof/>
            </w:rPr>
          </w:r>
          <w:r>
            <w:rPr>
              <w:noProof/>
            </w:rPr>
            <w:fldChar w:fldCharType="separate"/>
          </w:r>
          <w:r>
            <w:rPr>
              <w:noProof/>
            </w:rPr>
            <w:t>3</w:t>
          </w:r>
          <w:r>
            <w:rPr>
              <w:noProof/>
            </w:rPr>
            <w:fldChar w:fldCharType="end"/>
          </w:r>
        </w:p>
        <w:p w14:paraId="3642091D" w14:textId="6C3049D9" w:rsidR="00724B10" w:rsidRPr="00C856EB" w:rsidRDefault="00724B10" w:rsidP="00C856EB">
          <w:pPr>
            <w:pStyle w:val="TOC2"/>
            <w:rPr>
              <w:sz w:val="24"/>
              <w:szCs w:val="24"/>
              <w:lang w:eastAsia="ja-JP"/>
            </w:rPr>
          </w:pPr>
          <w:r w:rsidRPr="00C856EB">
            <w:t xml:space="preserve">*10.01 </w:t>
          </w:r>
          <w:r w:rsidR="00330BF3">
            <w:t xml:space="preserve">M17  </w:t>
          </w:r>
          <w:r w:rsidRPr="00C856EB">
            <w:t>Amend Minimum Qualifications for Reading</w:t>
          </w:r>
          <w:r w:rsidRPr="00C856EB">
            <w:tab/>
          </w:r>
          <w:r w:rsidRPr="00C856EB">
            <w:fldChar w:fldCharType="begin"/>
          </w:r>
          <w:r w:rsidRPr="00C856EB">
            <w:instrText xml:space="preserve"> PAGEREF _Toc359180145 \h </w:instrText>
          </w:r>
          <w:r w:rsidRPr="00C856EB">
            <w:fldChar w:fldCharType="separate"/>
          </w:r>
          <w:r w:rsidRPr="00C856EB">
            <w:t>3</w:t>
          </w:r>
          <w:r w:rsidRPr="00C856EB">
            <w:fldChar w:fldCharType="end"/>
          </w:r>
        </w:p>
        <w:p w14:paraId="1E645C2D" w14:textId="77777777" w:rsidR="00724B10" w:rsidRDefault="00724B10">
          <w:pPr>
            <w:pStyle w:val="TOC1"/>
            <w:tabs>
              <w:tab w:val="right" w:leader="dot" w:pos="9350"/>
            </w:tabs>
            <w:rPr>
              <w:b w:val="0"/>
              <w:noProof/>
              <w:lang w:eastAsia="ja-JP"/>
            </w:rPr>
          </w:pPr>
          <w:r>
            <w:rPr>
              <w:noProof/>
            </w:rPr>
            <w:t>12.0 Faculty Development</w:t>
          </w:r>
          <w:r>
            <w:rPr>
              <w:noProof/>
            </w:rPr>
            <w:tab/>
          </w:r>
          <w:r>
            <w:rPr>
              <w:noProof/>
            </w:rPr>
            <w:fldChar w:fldCharType="begin"/>
          </w:r>
          <w:r>
            <w:rPr>
              <w:noProof/>
            </w:rPr>
            <w:instrText xml:space="preserve"> PAGEREF _Toc359180146 \h </w:instrText>
          </w:r>
          <w:r>
            <w:rPr>
              <w:noProof/>
            </w:rPr>
          </w:r>
          <w:r>
            <w:rPr>
              <w:noProof/>
            </w:rPr>
            <w:fldChar w:fldCharType="separate"/>
          </w:r>
          <w:r>
            <w:rPr>
              <w:noProof/>
            </w:rPr>
            <w:t>4</w:t>
          </w:r>
          <w:r>
            <w:rPr>
              <w:noProof/>
            </w:rPr>
            <w:fldChar w:fldCharType="end"/>
          </w:r>
        </w:p>
        <w:p w14:paraId="0B30FE7F" w14:textId="77777777" w:rsidR="00724B10" w:rsidRDefault="00724B10" w:rsidP="00C856EB">
          <w:pPr>
            <w:pStyle w:val="TOC2"/>
            <w:rPr>
              <w:b/>
              <w:sz w:val="24"/>
              <w:szCs w:val="24"/>
              <w:lang w:eastAsia="ja-JP"/>
            </w:rPr>
          </w:pPr>
          <w:r>
            <w:t>*12.01 M17 Support for Faculty Leadership Training</w:t>
          </w:r>
          <w:r>
            <w:tab/>
          </w:r>
          <w:r>
            <w:fldChar w:fldCharType="begin"/>
          </w:r>
          <w:r>
            <w:instrText xml:space="preserve"> PAGEREF _Toc359180147 \h </w:instrText>
          </w:r>
          <w:r>
            <w:fldChar w:fldCharType="separate"/>
          </w:r>
          <w:r>
            <w:t>4</w:t>
          </w:r>
          <w:r>
            <w:fldChar w:fldCharType="end"/>
          </w:r>
        </w:p>
        <w:p w14:paraId="71A000EF" w14:textId="77777777" w:rsidR="00724B10" w:rsidRDefault="00724B10">
          <w:pPr>
            <w:pStyle w:val="TOC1"/>
            <w:tabs>
              <w:tab w:val="right" w:leader="dot" w:pos="9350"/>
            </w:tabs>
            <w:rPr>
              <w:b w:val="0"/>
              <w:noProof/>
              <w:lang w:eastAsia="ja-JP"/>
            </w:rPr>
          </w:pPr>
          <w:r>
            <w:rPr>
              <w:noProof/>
            </w:rPr>
            <w:t>13.0 GENERAL CONCERNS</w:t>
          </w:r>
          <w:r>
            <w:rPr>
              <w:noProof/>
            </w:rPr>
            <w:tab/>
          </w:r>
          <w:r>
            <w:rPr>
              <w:noProof/>
            </w:rPr>
            <w:fldChar w:fldCharType="begin"/>
          </w:r>
          <w:r>
            <w:rPr>
              <w:noProof/>
            </w:rPr>
            <w:instrText xml:space="preserve"> PAGEREF _Toc359180148 \h </w:instrText>
          </w:r>
          <w:r>
            <w:rPr>
              <w:noProof/>
            </w:rPr>
          </w:r>
          <w:r>
            <w:rPr>
              <w:noProof/>
            </w:rPr>
            <w:fldChar w:fldCharType="separate"/>
          </w:r>
          <w:r>
            <w:rPr>
              <w:noProof/>
            </w:rPr>
            <w:t>4</w:t>
          </w:r>
          <w:r>
            <w:rPr>
              <w:noProof/>
            </w:rPr>
            <w:fldChar w:fldCharType="end"/>
          </w:r>
        </w:p>
        <w:p w14:paraId="2250D6E0" w14:textId="77777777" w:rsidR="00724B10" w:rsidRDefault="00724B10" w:rsidP="00C856EB">
          <w:pPr>
            <w:pStyle w:val="TOC2"/>
            <w:rPr>
              <w:b/>
              <w:sz w:val="24"/>
              <w:szCs w:val="24"/>
              <w:lang w:eastAsia="ja-JP"/>
            </w:rPr>
          </w:pPr>
          <w:r>
            <w:t>*13.01 M17 Dietary Equity and Access to Quality Plenary and Institute Dining</w:t>
          </w:r>
          <w:r>
            <w:tab/>
          </w:r>
          <w:r>
            <w:fldChar w:fldCharType="begin"/>
          </w:r>
          <w:r>
            <w:instrText xml:space="preserve"> PAGEREF _Toc359180149 \h </w:instrText>
          </w:r>
          <w:r>
            <w:fldChar w:fldCharType="separate"/>
          </w:r>
          <w:r>
            <w:t>4</w:t>
          </w:r>
          <w:r>
            <w:fldChar w:fldCharType="end"/>
          </w:r>
        </w:p>
        <w:p w14:paraId="12500135" w14:textId="77777777" w:rsidR="00724B10" w:rsidRDefault="00724B10" w:rsidP="00C856EB">
          <w:pPr>
            <w:pStyle w:val="TOC2"/>
            <w:rPr>
              <w:b/>
              <w:sz w:val="24"/>
              <w:szCs w:val="24"/>
              <w:lang w:eastAsia="ja-JP"/>
            </w:rPr>
          </w:pPr>
          <w:r>
            <w:t>*13.02 M17 Achieving Good Vibes</w:t>
          </w:r>
          <w:r>
            <w:tab/>
          </w:r>
          <w:r>
            <w:fldChar w:fldCharType="begin"/>
          </w:r>
          <w:r>
            <w:instrText xml:space="preserve"> PAGEREF _Toc359180150 \h </w:instrText>
          </w:r>
          <w:r>
            <w:fldChar w:fldCharType="separate"/>
          </w:r>
          <w:r>
            <w:t>5</w:t>
          </w:r>
          <w:r>
            <w:fldChar w:fldCharType="end"/>
          </w:r>
        </w:p>
        <w:p w14:paraId="224AF9B7" w14:textId="77777777" w:rsidR="00724B10" w:rsidRDefault="00724B10" w:rsidP="00C856EB">
          <w:pPr>
            <w:pStyle w:val="TOC2"/>
            <w:rPr>
              <w:b/>
              <w:sz w:val="24"/>
              <w:szCs w:val="24"/>
              <w:lang w:eastAsia="ja-JP"/>
            </w:rPr>
          </w:pPr>
          <w:r>
            <w:t>*13.03 M17 Recommendations for Financial Recovery Plan</w:t>
          </w:r>
          <w:r>
            <w:tab/>
          </w:r>
          <w:r>
            <w:fldChar w:fldCharType="begin"/>
          </w:r>
          <w:r>
            <w:instrText xml:space="preserve"> PAGEREF _Toc359180151 \h </w:instrText>
          </w:r>
          <w:r>
            <w:fldChar w:fldCharType="separate"/>
          </w:r>
          <w:r>
            <w:t>5</w:t>
          </w:r>
          <w:r>
            <w:fldChar w:fldCharType="end"/>
          </w:r>
        </w:p>
        <w:p w14:paraId="315AA272" w14:textId="77777777" w:rsidR="00724B10" w:rsidRDefault="00724B10" w:rsidP="00C856EB">
          <w:pPr>
            <w:pStyle w:val="TOC2"/>
            <w:rPr>
              <w:b/>
              <w:sz w:val="24"/>
              <w:szCs w:val="24"/>
              <w:lang w:eastAsia="ja-JP"/>
            </w:rPr>
          </w:pPr>
          <w:r>
            <w:t>*13.04 M17 Renaming Office Hours to Student Support Hours</w:t>
          </w:r>
          <w:r>
            <w:tab/>
          </w:r>
          <w:r>
            <w:fldChar w:fldCharType="begin"/>
          </w:r>
          <w:r>
            <w:instrText xml:space="preserve"> PAGEREF _Toc359180152 \h </w:instrText>
          </w:r>
          <w:r>
            <w:fldChar w:fldCharType="separate"/>
          </w:r>
          <w:r>
            <w:t>6</w:t>
          </w:r>
          <w:r>
            <w:fldChar w:fldCharType="end"/>
          </w:r>
        </w:p>
        <w:p w14:paraId="7D16B565" w14:textId="77777777" w:rsidR="00724B10" w:rsidRDefault="00724B10">
          <w:pPr>
            <w:pStyle w:val="TOC1"/>
            <w:tabs>
              <w:tab w:val="right" w:leader="dot" w:pos="9350"/>
            </w:tabs>
            <w:rPr>
              <w:b w:val="0"/>
              <w:noProof/>
              <w:lang w:eastAsia="ja-JP"/>
            </w:rPr>
          </w:pPr>
          <w:r>
            <w:rPr>
              <w:noProof/>
            </w:rPr>
            <w:t>15.0 Intersegmental Issues</w:t>
          </w:r>
          <w:r>
            <w:rPr>
              <w:noProof/>
            </w:rPr>
            <w:tab/>
          </w:r>
          <w:r>
            <w:rPr>
              <w:noProof/>
            </w:rPr>
            <w:fldChar w:fldCharType="begin"/>
          </w:r>
          <w:r>
            <w:rPr>
              <w:noProof/>
            </w:rPr>
            <w:instrText xml:space="preserve"> PAGEREF _Toc359180153 \h </w:instrText>
          </w:r>
          <w:r>
            <w:rPr>
              <w:noProof/>
            </w:rPr>
          </w:r>
          <w:r>
            <w:rPr>
              <w:noProof/>
            </w:rPr>
            <w:fldChar w:fldCharType="separate"/>
          </w:r>
          <w:r>
            <w:rPr>
              <w:noProof/>
            </w:rPr>
            <w:t>6</w:t>
          </w:r>
          <w:r>
            <w:rPr>
              <w:noProof/>
            </w:rPr>
            <w:fldChar w:fldCharType="end"/>
          </w:r>
        </w:p>
        <w:p w14:paraId="6B39D68E" w14:textId="77777777" w:rsidR="00724B10" w:rsidRDefault="00724B10" w:rsidP="00C856EB">
          <w:pPr>
            <w:pStyle w:val="TOC2"/>
            <w:rPr>
              <w:b/>
              <w:sz w:val="24"/>
              <w:szCs w:val="24"/>
              <w:lang w:eastAsia="ja-JP"/>
            </w:rPr>
          </w:pPr>
          <w:r>
            <w:t>*15.01 M17 Inclusion of Studio and Performing Art Courses in General Education for CSU and UC</w:t>
          </w:r>
          <w:r>
            <w:tab/>
          </w:r>
          <w:r>
            <w:fldChar w:fldCharType="begin"/>
          </w:r>
          <w:r>
            <w:instrText xml:space="preserve"> PAGEREF _Toc359180154 \h </w:instrText>
          </w:r>
          <w:r>
            <w:fldChar w:fldCharType="separate"/>
          </w:r>
          <w:r>
            <w:t>6</w:t>
          </w:r>
          <w:r>
            <w:fldChar w:fldCharType="end"/>
          </w:r>
        </w:p>
        <w:p w14:paraId="24E8F0F6" w14:textId="77777777" w:rsidR="00724B10" w:rsidRDefault="00724B10">
          <w:pPr>
            <w:pStyle w:val="TOC1"/>
            <w:tabs>
              <w:tab w:val="right" w:leader="dot" w:pos="9350"/>
            </w:tabs>
            <w:rPr>
              <w:b w:val="0"/>
              <w:noProof/>
              <w:lang w:eastAsia="ja-JP"/>
            </w:rPr>
          </w:pPr>
          <w:r>
            <w:rPr>
              <w:noProof/>
            </w:rPr>
            <w:t>17.0 Local Senates</w:t>
          </w:r>
          <w:r>
            <w:rPr>
              <w:noProof/>
            </w:rPr>
            <w:tab/>
          </w:r>
          <w:r>
            <w:rPr>
              <w:noProof/>
            </w:rPr>
            <w:fldChar w:fldCharType="begin"/>
          </w:r>
          <w:r>
            <w:rPr>
              <w:noProof/>
            </w:rPr>
            <w:instrText xml:space="preserve"> PAGEREF _Toc359180155 \h </w:instrText>
          </w:r>
          <w:r>
            <w:rPr>
              <w:noProof/>
            </w:rPr>
          </w:r>
          <w:r>
            <w:rPr>
              <w:noProof/>
            </w:rPr>
            <w:fldChar w:fldCharType="separate"/>
          </w:r>
          <w:r>
            <w:rPr>
              <w:noProof/>
            </w:rPr>
            <w:t>7</w:t>
          </w:r>
          <w:r>
            <w:rPr>
              <w:noProof/>
            </w:rPr>
            <w:fldChar w:fldCharType="end"/>
          </w:r>
        </w:p>
        <w:p w14:paraId="1770CC16" w14:textId="77777777" w:rsidR="00724B10" w:rsidRDefault="00724B10" w:rsidP="00C856EB">
          <w:pPr>
            <w:pStyle w:val="TOC2"/>
            <w:rPr>
              <w:b/>
              <w:sz w:val="24"/>
              <w:szCs w:val="24"/>
              <w:lang w:eastAsia="ja-JP"/>
            </w:rPr>
          </w:pPr>
          <w:r>
            <w:t>*17.01 M17 Believe in the Power of Dance</w:t>
          </w:r>
          <w:r>
            <w:tab/>
          </w:r>
          <w:r>
            <w:fldChar w:fldCharType="begin"/>
          </w:r>
          <w:r>
            <w:instrText xml:space="preserve"> PAGEREF _Toc359180156 \h </w:instrText>
          </w:r>
          <w:r>
            <w:fldChar w:fldCharType="separate"/>
          </w:r>
          <w:r>
            <w:t>7</w:t>
          </w:r>
          <w:r>
            <w:fldChar w:fldCharType="end"/>
          </w:r>
        </w:p>
        <w:p w14:paraId="5D521CBE" w14:textId="77777777" w:rsidR="00724B10" w:rsidRDefault="00724B10" w:rsidP="00C856EB">
          <w:pPr>
            <w:pStyle w:val="TOC2"/>
            <w:rPr>
              <w:b/>
              <w:sz w:val="24"/>
              <w:szCs w:val="24"/>
              <w:lang w:eastAsia="ja-JP"/>
            </w:rPr>
          </w:pPr>
          <w:r>
            <w:t>*17.02 M17 Naptime Spaces</w:t>
          </w:r>
          <w:r>
            <w:tab/>
          </w:r>
          <w:r>
            <w:fldChar w:fldCharType="begin"/>
          </w:r>
          <w:r>
            <w:instrText xml:space="preserve"> PAGEREF _Toc359180157 \h </w:instrText>
          </w:r>
          <w:r>
            <w:fldChar w:fldCharType="separate"/>
          </w:r>
          <w:r>
            <w:t>7</w:t>
          </w:r>
          <w:r>
            <w:fldChar w:fldCharType="end"/>
          </w:r>
        </w:p>
        <w:p w14:paraId="32257A11" w14:textId="77777777" w:rsidR="00724B10" w:rsidRDefault="00724B10" w:rsidP="00C856EB">
          <w:pPr>
            <w:pStyle w:val="TOC2"/>
            <w:rPr>
              <w:b/>
              <w:sz w:val="24"/>
              <w:szCs w:val="24"/>
              <w:lang w:eastAsia="ja-JP"/>
            </w:rPr>
          </w:pPr>
          <w:r>
            <w:t>*17.03 M17 Develop a Paper on Effective Practices of Academic Senate Participation in Academic Administrator Hiring Processes</w:t>
          </w:r>
          <w:r>
            <w:tab/>
          </w:r>
          <w:r>
            <w:fldChar w:fldCharType="begin"/>
          </w:r>
          <w:r>
            <w:instrText xml:space="preserve"> PAGEREF _Toc359180158 \h </w:instrText>
          </w:r>
          <w:r>
            <w:fldChar w:fldCharType="separate"/>
          </w:r>
          <w:r>
            <w:t>8</w:t>
          </w:r>
          <w:r>
            <w:fldChar w:fldCharType="end"/>
          </w:r>
        </w:p>
        <w:p w14:paraId="62C8BE3B" w14:textId="77777777" w:rsidR="00724B10" w:rsidRDefault="00724B10" w:rsidP="00C856EB">
          <w:pPr>
            <w:pStyle w:val="TOC2"/>
            <w:rPr>
              <w:b/>
              <w:sz w:val="24"/>
              <w:szCs w:val="24"/>
              <w:lang w:eastAsia="ja-JP"/>
            </w:rPr>
          </w:pPr>
          <w:r>
            <w:t>*17.02 M17 Equity for Lecture and Laboratory Instruction</w:t>
          </w:r>
          <w:r>
            <w:tab/>
          </w:r>
          <w:r>
            <w:fldChar w:fldCharType="begin"/>
          </w:r>
          <w:r>
            <w:instrText xml:space="preserve"> PAGEREF _Toc359180159 \h </w:instrText>
          </w:r>
          <w:r>
            <w:fldChar w:fldCharType="separate"/>
          </w:r>
          <w:r>
            <w:t>8</w:t>
          </w:r>
          <w:r>
            <w:fldChar w:fldCharType="end"/>
          </w:r>
        </w:p>
        <w:p w14:paraId="7DF5ECCB" w14:textId="4C9837AE" w:rsidR="00DC06C6" w:rsidRDefault="00DC06C6">
          <w:r>
            <w:rPr>
              <w:b/>
              <w:bCs/>
              <w:noProof/>
            </w:rPr>
            <w:fldChar w:fldCharType="end"/>
          </w:r>
        </w:p>
      </w:sdtContent>
    </w:sdt>
    <w:p w14:paraId="30A2713C" w14:textId="77777777" w:rsidR="00D8389E" w:rsidRPr="008F6C41" w:rsidRDefault="00D8389E" w:rsidP="00DC06C6"/>
    <w:p w14:paraId="0DAC2C2D" w14:textId="77777777" w:rsidR="003F3B57" w:rsidRPr="008F6C41" w:rsidRDefault="003F3B57" w:rsidP="005C4E7D">
      <w:pPr>
        <w:rPr>
          <w:rFonts w:eastAsia="Calibri"/>
        </w:rPr>
      </w:pPr>
    </w:p>
    <w:p w14:paraId="2FB4202C" w14:textId="77777777" w:rsidR="00C06B9A" w:rsidRPr="008F6C41" w:rsidRDefault="00C06B9A">
      <w:pPr>
        <w:rPr>
          <w:rFonts w:eastAsia="Calibri"/>
        </w:rPr>
      </w:pPr>
    </w:p>
    <w:p w14:paraId="2C42F50D" w14:textId="77777777" w:rsidR="00C06B9A" w:rsidRPr="008F6C41" w:rsidRDefault="00C06B9A">
      <w:pPr>
        <w:rPr>
          <w:rFonts w:eastAsia="Calibri"/>
          <w:color w:val="000000" w:themeColor="text1"/>
        </w:rPr>
      </w:pPr>
    </w:p>
    <w:p w14:paraId="1FBFCEFD" w14:textId="77777777" w:rsidR="00C06B9A" w:rsidRPr="008F6C41" w:rsidRDefault="00C06B9A">
      <w:pPr>
        <w:rPr>
          <w:rFonts w:eastAsia="Calibri"/>
          <w:color w:val="000000" w:themeColor="text1"/>
        </w:rPr>
      </w:pPr>
    </w:p>
    <w:p w14:paraId="1C747C88" w14:textId="77777777" w:rsidR="00C06B9A" w:rsidRPr="008F6C41" w:rsidRDefault="00C06B9A">
      <w:pPr>
        <w:rPr>
          <w:rFonts w:eastAsia="Calibri"/>
          <w:color w:val="000000" w:themeColor="text1"/>
        </w:rPr>
      </w:pPr>
    </w:p>
    <w:p w14:paraId="3BDA1EDC" w14:textId="77777777" w:rsidR="00C06B9A" w:rsidRPr="008F6C41" w:rsidRDefault="00C06B9A">
      <w:pPr>
        <w:rPr>
          <w:rFonts w:eastAsia="Calibri"/>
          <w:color w:val="000000" w:themeColor="text1"/>
        </w:rPr>
      </w:pPr>
    </w:p>
    <w:p w14:paraId="39DEB344" w14:textId="47925710" w:rsidR="004C7AA1" w:rsidRPr="008F6C41" w:rsidRDefault="004C7AA1">
      <w:pPr>
        <w:rPr>
          <w:rFonts w:eastAsia="Calibri"/>
          <w:color w:val="000000" w:themeColor="text1"/>
        </w:rPr>
      </w:pPr>
      <w:r w:rsidRPr="008F6C41">
        <w:rPr>
          <w:rFonts w:eastAsia="Calibri"/>
          <w:color w:val="000000" w:themeColor="text1"/>
        </w:rPr>
        <w:br w:type="page"/>
      </w:r>
    </w:p>
    <w:p w14:paraId="7E36B788" w14:textId="1D81951F" w:rsidR="00712471" w:rsidRPr="00103979" w:rsidRDefault="00103979" w:rsidP="00103979">
      <w:pPr>
        <w:pStyle w:val="Heading1"/>
      </w:pPr>
      <w:bookmarkStart w:id="0" w:name="_Toc359180139"/>
      <w:r w:rsidRPr="00103979">
        <w:t>3.0 DIVERSITY AND EQUITY</w:t>
      </w:r>
      <w:bookmarkEnd w:id="0"/>
    </w:p>
    <w:p w14:paraId="38CAB0B0" w14:textId="5A149B85" w:rsidR="00C06B9A" w:rsidRPr="00103979" w:rsidRDefault="005D2CB5" w:rsidP="00DC06C6">
      <w:pPr>
        <w:pStyle w:val="Heading2"/>
      </w:pPr>
      <w:bookmarkStart w:id="1" w:name="_Toc359180140"/>
      <w:r>
        <w:t>*</w:t>
      </w:r>
      <w:r w:rsidR="00712471" w:rsidRPr="00103979">
        <w:t xml:space="preserve">3.01 </w:t>
      </w:r>
      <w:r w:rsidR="00700988" w:rsidRPr="00103979">
        <w:t>M17</w:t>
      </w:r>
      <w:r w:rsidR="00700988" w:rsidRPr="00103979">
        <w:tab/>
      </w:r>
      <w:r w:rsidR="00C06B9A" w:rsidRPr="00103979">
        <w:t>Equity and Diversity in Hiring</w:t>
      </w:r>
      <w:r w:rsidR="00590791">
        <w:t xml:space="preserve"> Practices</w:t>
      </w:r>
      <w:bookmarkEnd w:id="1"/>
    </w:p>
    <w:p w14:paraId="52E925BB" w14:textId="77777777" w:rsidR="00C06B9A" w:rsidRPr="008F6C41" w:rsidRDefault="00C06B9A" w:rsidP="0086116E"/>
    <w:p w14:paraId="55594FF3" w14:textId="21D6A1E7" w:rsidR="00C06B9A" w:rsidRPr="008F6C41" w:rsidRDefault="005A5F1F" w:rsidP="0086116E">
      <w:r>
        <w:t>Whereas, T</w:t>
      </w:r>
      <w:r w:rsidR="00C06B9A" w:rsidRPr="008F6C41">
        <w:t>he California Community Chancellor's Office has determined that California Community Colleges need greater diversity and incl</w:t>
      </w:r>
      <w:r>
        <w:t>usion in their hiring practices;</w:t>
      </w:r>
    </w:p>
    <w:p w14:paraId="5E5CEF06" w14:textId="77777777" w:rsidR="00C06B9A" w:rsidRPr="008F6C41" w:rsidRDefault="00C06B9A" w:rsidP="0086116E"/>
    <w:p w14:paraId="2E4A998A" w14:textId="5070ADAE" w:rsidR="00C06B9A" w:rsidRPr="008F6C41" w:rsidRDefault="005A5F1F" w:rsidP="0086116E">
      <w:r>
        <w:t>Whereas, It is important for a</w:t>
      </w:r>
      <w:r w:rsidR="00C06B9A" w:rsidRPr="008F6C41">
        <w:t xml:space="preserve"> diverse student population to see itself represented in </w:t>
      </w:r>
      <w:r>
        <w:t>the classroom and around campus; and</w:t>
      </w:r>
    </w:p>
    <w:p w14:paraId="7EF10D3C" w14:textId="77777777" w:rsidR="00C06B9A" w:rsidRPr="008F6C41" w:rsidRDefault="00C06B9A" w:rsidP="0086116E"/>
    <w:p w14:paraId="0095A94B" w14:textId="4CAEE151" w:rsidR="00C06B9A" w:rsidRPr="008F6C41" w:rsidRDefault="005A5F1F" w:rsidP="0086116E">
      <w:r>
        <w:t>Whereas, C</w:t>
      </w:r>
      <w:r w:rsidR="00C06B9A" w:rsidRPr="008F6C41">
        <w:t>ampus culture strongly supp</w:t>
      </w:r>
      <w:r w:rsidR="00700988" w:rsidRPr="008F6C41">
        <w:t>orts student success and equity</w:t>
      </w:r>
      <w:r w:rsidR="00712471" w:rsidRPr="008F6C41">
        <w:t xml:space="preserve"> </w:t>
      </w:r>
      <w:r>
        <w:t>initiatives;</w:t>
      </w:r>
    </w:p>
    <w:p w14:paraId="088C4458" w14:textId="77777777" w:rsidR="00C06B9A" w:rsidRPr="008F6C41" w:rsidRDefault="00C06B9A" w:rsidP="0086116E"/>
    <w:p w14:paraId="082689E3" w14:textId="01C32B90" w:rsidR="00C06B9A" w:rsidRPr="008F6C41" w:rsidRDefault="00C06B9A" w:rsidP="0086116E">
      <w:r w:rsidRPr="008F6C41">
        <w:t xml:space="preserve">Resolved, </w:t>
      </w:r>
      <w:r w:rsidR="00EB002A">
        <w:t>T</w:t>
      </w:r>
      <w:r w:rsidR="00460D09" w:rsidRPr="008F6C41">
        <w:t xml:space="preserve">hat </w:t>
      </w:r>
      <w:r w:rsidRPr="008F6C41">
        <w:t>the Academic Senate for California Community Colleges strongl</w:t>
      </w:r>
      <w:r w:rsidR="00FB3BC1" w:rsidRPr="008F6C41">
        <w:t>y recommend</w:t>
      </w:r>
      <w:r w:rsidRPr="008F6C41">
        <w:t xml:space="preserve"> that local senates define diversity as it manifests i</w:t>
      </w:r>
      <w:r w:rsidR="00EB002A">
        <w:t>tself in local hiring practices; and</w:t>
      </w:r>
    </w:p>
    <w:p w14:paraId="498484FF" w14:textId="77777777" w:rsidR="00C06B9A" w:rsidRPr="008F6C41" w:rsidRDefault="00C06B9A" w:rsidP="0086116E"/>
    <w:p w14:paraId="7BEEFD51" w14:textId="1D04AF76" w:rsidR="00C06B9A" w:rsidRPr="008F6C41" w:rsidRDefault="00EB002A" w:rsidP="0086116E">
      <w:r>
        <w:t>Resolved, T</w:t>
      </w:r>
      <w:r w:rsidR="00C06B9A" w:rsidRPr="008F6C41">
        <w:t xml:space="preserve">hat the Academic Senate for California Community Colleges </w:t>
      </w:r>
      <w:r w:rsidR="00FB3BC1" w:rsidRPr="008F6C41">
        <w:t>urge</w:t>
      </w:r>
      <w:r w:rsidR="00C06B9A" w:rsidRPr="008F6C41">
        <w:t xml:space="preserve"> local senates, in collaboration with their administration, faculty, and staff, to create diversity and equity guidelines for future hiring practices.</w:t>
      </w:r>
    </w:p>
    <w:p w14:paraId="1A790A4F" w14:textId="77777777" w:rsidR="00C06B9A" w:rsidRPr="008F6C41" w:rsidRDefault="00C06B9A" w:rsidP="0086116E"/>
    <w:p w14:paraId="33CA81AD" w14:textId="69BBDA22" w:rsidR="00C06B9A" w:rsidRPr="008F6C41" w:rsidRDefault="00E05750" w:rsidP="0086116E">
      <w:r w:rsidRPr="008F6C41">
        <w:t xml:space="preserve">Contact: Alicia </w:t>
      </w:r>
      <w:proofErr w:type="spellStart"/>
      <w:r w:rsidRPr="008F6C41">
        <w:t>Pasquel</w:t>
      </w:r>
      <w:proofErr w:type="spellEnd"/>
      <w:r w:rsidRPr="008F6C41">
        <w:t xml:space="preserve">, </w:t>
      </w:r>
      <w:r w:rsidR="00C06B9A" w:rsidRPr="008F6C41">
        <w:t>College of Marin</w:t>
      </w:r>
    </w:p>
    <w:p w14:paraId="24351EF5" w14:textId="77777777" w:rsidR="00CF4BFA" w:rsidRPr="008F6C41" w:rsidRDefault="00CF4BFA" w:rsidP="0086116E"/>
    <w:p w14:paraId="5C6C4508" w14:textId="39395D70" w:rsidR="00CF4BFA" w:rsidRPr="008F6C41" w:rsidRDefault="00DC06C6" w:rsidP="00BA1BE1">
      <w:pPr>
        <w:pStyle w:val="Heading2"/>
      </w:pPr>
      <w:bookmarkStart w:id="2" w:name="_Toc359180141"/>
      <w:r>
        <w:t>*</w:t>
      </w:r>
      <w:r w:rsidR="00CF4BFA" w:rsidRPr="008F6C41">
        <w:t xml:space="preserve">3.02 </w:t>
      </w:r>
      <w:r w:rsidR="00293112" w:rsidRPr="008F6C41">
        <w:t xml:space="preserve">M17 </w:t>
      </w:r>
      <w:r w:rsidR="00CF4BFA" w:rsidRPr="008F6C41">
        <w:t>Gender Equity Resolution</w:t>
      </w:r>
      <w:bookmarkEnd w:id="2"/>
      <w:r w:rsidR="00CF4BFA" w:rsidRPr="008F6C41">
        <w:t xml:space="preserve"> </w:t>
      </w:r>
    </w:p>
    <w:p w14:paraId="40A11DD2" w14:textId="77777777" w:rsidR="00CF4BFA" w:rsidRPr="008F6C41" w:rsidRDefault="00CF4BFA" w:rsidP="00CF4BFA"/>
    <w:p w14:paraId="0001D9EF" w14:textId="48673585" w:rsidR="00CF4BFA" w:rsidRPr="008F6C41" w:rsidRDefault="00CF4BFA" w:rsidP="00CF4BFA">
      <w:r w:rsidRPr="008F6C41">
        <w:t>Whereas, The Academic Senate for the California Community Colleges (ASCCC) is committed to gender equity, non-discrimination and respect among all students, fa</w:t>
      </w:r>
      <w:r w:rsidR="00130355">
        <w:t>culty, and staff;</w:t>
      </w:r>
      <w:r w:rsidRPr="008F6C41">
        <w:t xml:space="preserve"> and recognizes that gender inequity continues to exist in many organizations an</w:t>
      </w:r>
      <w:r w:rsidR="00130355">
        <w:t>d countries despite legislation;</w:t>
      </w:r>
      <w:r w:rsidRPr="008F6C41">
        <w:t xml:space="preserve">  </w:t>
      </w:r>
    </w:p>
    <w:p w14:paraId="2734395C" w14:textId="77777777" w:rsidR="00CF4BFA" w:rsidRPr="008F6C41" w:rsidRDefault="00CF4BFA" w:rsidP="00CF4BFA"/>
    <w:p w14:paraId="621254BA" w14:textId="30FE9DC6" w:rsidR="00CF4BFA" w:rsidRPr="008F6C41" w:rsidRDefault="00CF4BFA" w:rsidP="00CF4BFA">
      <w:r w:rsidRPr="008F6C41">
        <w:t xml:space="preserve">Whereas, </w:t>
      </w:r>
      <w:r w:rsidR="00FB3BC1" w:rsidRPr="008F6C41">
        <w:t xml:space="preserve">The </w:t>
      </w:r>
      <w:r w:rsidRPr="008F6C41">
        <w:t>ASCCC recognizes that women outnumber men in community colleges nation-wide but that progress in women’s participation i</w:t>
      </w:r>
      <w:r w:rsidR="00130355">
        <w:t>n leadership is slow and uneven;</w:t>
      </w:r>
    </w:p>
    <w:p w14:paraId="374D3948" w14:textId="77777777" w:rsidR="00CF4BFA" w:rsidRPr="008F6C41" w:rsidRDefault="00CF4BFA" w:rsidP="00CF4BFA"/>
    <w:p w14:paraId="74495888" w14:textId="69194A8D" w:rsidR="00CF4BFA" w:rsidRPr="008F6C41" w:rsidRDefault="00CF4BFA" w:rsidP="00CF4BFA">
      <w:r w:rsidRPr="008F6C41">
        <w:t xml:space="preserve">Whereas, </w:t>
      </w:r>
      <w:r w:rsidR="00FB3BC1" w:rsidRPr="008F6C41">
        <w:t xml:space="preserve">The </w:t>
      </w:r>
      <w:r w:rsidRPr="008F6C41">
        <w:t>ASCCC is committed to gender equity in decision-making, membership, mentor</w:t>
      </w:r>
      <w:r w:rsidR="00130355">
        <w:t>ship, and institutional history;</w:t>
      </w:r>
      <w:r w:rsidRPr="008F6C41">
        <w:t xml:space="preserve"> and is committed to gender equity in assessments, evaluations, recruitment, hiring, </w:t>
      </w:r>
      <w:r w:rsidR="00130355">
        <w:t>promotion, and success of women;</w:t>
      </w:r>
      <w:r w:rsidRPr="008F6C41">
        <w:t xml:space="preserve"> and</w:t>
      </w:r>
    </w:p>
    <w:p w14:paraId="0707771B" w14:textId="77777777" w:rsidR="00CF4BFA" w:rsidRPr="008F6C41" w:rsidRDefault="00CF4BFA" w:rsidP="00CF4BFA"/>
    <w:p w14:paraId="3CD655DD" w14:textId="55065B52" w:rsidR="00CF4BFA" w:rsidRPr="008F6C41" w:rsidRDefault="00CF4BFA" w:rsidP="00CF4BFA">
      <w:r w:rsidRPr="008F6C41">
        <w:t xml:space="preserve">Whereas, </w:t>
      </w:r>
      <w:r w:rsidR="00FB3BC1" w:rsidRPr="008F6C41">
        <w:t xml:space="preserve">The </w:t>
      </w:r>
      <w:r w:rsidRPr="008F6C41">
        <w:t>ASCCC supports women having the right to make decisions about their own lives</w:t>
      </w:r>
      <w:r w:rsidR="00130355">
        <w:t xml:space="preserve"> and bodies, and</w:t>
      </w:r>
      <w:r w:rsidRPr="008F6C41">
        <w:t xml:space="preserve"> supports family leave, partner benefits, and flexibility around childcare because this strengthens the individual</w:t>
      </w:r>
      <w:r w:rsidR="00130355">
        <w:t>, the family, and the community;</w:t>
      </w:r>
    </w:p>
    <w:p w14:paraId="1F518337" w14:textId="77777777" w:rsidR="00CF4BFA" w:rsidRPr="008F6C41" w:rsidRDefault="00CF4BFA" w:rsidP="00CF4BFA"/>
    <w:p w14:paraId="3A5CEB71" w14:textId="77777777" w:rsidR="00130355" w:rsidRDefault="00CF4BFA" w:rsidP="00CF4BFA">
      <w:r w:rsidRPr="008F6C41">
        <w:t>Resolved</w:t>
      </w:r>
      <w:r w:rsidR="00FB3BC1" w:rsidRPr="008F6C41">
        <w:t>, That the Academic Senate for California Community Colleges</w:t>
      </w:r>
      <w:r w:rsidRPr="008F6C41">
        <w:t xml:space="preserve"> is committed to creating an inclusive culture that is committed to gender equity, non-discrimination, and respect in our classrooms, meet</w:t>
      </w:r>
      <w:r w:rsidR="00130355">
        <w:t>ing rooms, and community spaces;</w:t>
      </w:r>
      <w:r w:rsidRPr="008F6C41">
        <w:t xml:space="preserve"> and  </w:t>
      </w:r>
    </w:p>
    <w:p w14:paraId="05A8CDE4" w14:textId="19C12605" w:rsidR="00CF4BFA" w:rsidRPr="008F6C41" w:rsidRDefault="00CF4BFA" w:rsidP="00CF4BFA">
      <w:r w:rsidRPr="008F6C41">
        <w:t xml:space="preserve"> </w:t>
      </w:r>
    </w:p>
    <w:p w14:paraId="37EF45B2" w14:textId="7C954DFB" w:rsidR="00CF4BFA" w:rsidRPr="008F6C41" w:rsidRDefault="00CF4BFA" w:rsidP="00CF4BFA">
      <w:r w:rsidRPr="008F6C41">
        <w:t>R</w:t>
      </w:r>
      <w:r w:rsidR="007461B4" w:rsidRPr="008F6C41">
        <w:t>esolved</w:t>
      </w:r>
      <w:r w:rsidR="00130355">
        <w:t xml:space="preserve">, </w:t>
      </w:r>
      <w:r w:rsidR="00FB3BC1" w:rsidRPr="008F6C41">
        <w:t xml:space="preserve">That the Academic Senate for California Community Colleges </w:t>
      </w:r>
      <w:r w:rsidRPr="008F6C41">
        <w:t xml:space="preserve">approves this statement on gender equity and that the endorsement of this resolution be widely publicized to all segments of the California Community College Chancellor’s Office.   </w:t>
      </w:r>
    </w:p>
    <w:p w14:paraId="24F16995" w14:textId="77777777" w:rsidR="00CF4BFA" w:rsidRPr="008F6C41" w:rsidRDefault="00CF4BFA" w:rsidP="0086116E"/>
    <w:p w14:paraId="5268AC8C" w14:textId="6E06C10B" w:rsidR="00C06B9A" w:rsidRPr="008F6C41" w:rsidRDefault="007461B4" w:rsidP="0086116E">
      <w:r w:rsidRPr="008F6C41">
        <w:t>Contact Gayle Pitman, Sacramento City College</w:t>
      </w:r>
    </w:p>
    <w:p w14:paraId="548FC850" w14:textId="77777777" w:rsidR="007461B4" w:rsidRPr="008F6C41" w:rsidRDefault="007461B4" w:rsidP="0086116E"/>
    <w:p w14:paraId="6B1EA1E2" w14:textId="77777777" w:rsidR="00E05750" w:rsidRPr="008F6C41" w:rsidRDefault="00E05750" w:rsidP="00724B10">
      <w:pPr>
        <w:pStyle w:val="Heading1"/>
      </w:pPr>
      <w:bookmarkStart w:id="3" w:name="_Toc359180142"/>
      <w:r w:rsidRPr="008F6C41">
        <w:t>6.0 State and Legislative Issues</w:t>
      </w:r>
      <w:bookmarkEnd w:id="3"/>
      <w:r w:rsidRPr="008F6C41">
        <w:t xml:space="preserve"> </w:t>
      </w:r>
    </w:p>
    <w:p w14:paraId="11355444" w14:textId="68C251E6" w:rsidR="00E05750" w:rsidRPr="008F6C41" w:rsidRDefault="00DC06C6" w:rsidP="00BA1BE1">
      <w:pPr>
        <w:pStyle w:val="Heading2"/>
      </w:pPr>
      <w:bookmarkStart w:id="4" w:name="_Toc359180143"/>
      <w:r>
        <w:t>*</w:t>
      </w:r>
      <w:r w:rsidR="00E05750" w:rsidRPr="008F6C41">
        <w:t>6.01 M17 Expansion of Dual Enrollment Opportunities</w:t>
      </w:r>
      <w:bookmarkEnd w:id="4"/>
      <w:r w:rsidR="00E05750" w:rsidRPr="008F6C41">
        <w:t xml:space="preserve"> </w:t>
      </w:r>
    </w:p>
    <w:p w14:paraId="45EE5D3D" w14:textId="77777777" w:rsidR="00E05750" w:rsidRPr="008F6C41" w:rsidRDefault="00E05750" w:rsidP="00E05750"/>
    <w:p w14:paraId="647BD143" w14:textId="670CCA99" w:rsidR="00E05750" w:rsidRPr="008F6C41" w:rsidRDefault="00D36735" w:rsidP="00E05750">
      <w:r w:rsidRPr="008F6C41">
        <w:t>Whereas, D</w:t>
      </w:r>
      <w:r w:rsidR="00E05750" w:rsidRPr="008F6C41">
        <w:t>ual enrollment has been shown to expand college-going success and a sense of opportunity for high school students;</w:t>
      </w:r>
    </w:p>
    <w:p w14:paraId="7D17EAF3" w14:textId="77777777" w:rsidR="00E05750" w:rsidRPr="008F6C41" w:rsidRDefault="00E05750" w:rsidP="00E05750"/>
    <w:p w14:paraId="199D76E6" w14:textId="022D416C" w:rsidR="00E05750" w:rsidRPr="008F6C41" w:rsidRDefault="00D36735" w:rsidP="00E05750">
      <w:r w:rsidRPr="008F6C41">
        <w:t>Whereas, T</w:t>
      </w:r>
      <w:r w:rsidR="00E05750" w:rsidRPr="008F6C41">
        <w:t>he passage of AB 1451 (Holden) was designed to expand dual enrollment opportunities by building College and Career Access Pathways (CCAP) between high school and community college partners;</w:t>
      </w:r>
      <w:r w:rsidR="008C101C">
        <w:t xml:space="preserve"> and</w:t>
      </w:r>
    </w:p>
    <w:p w14:paraId="48E70A87" w14:textId="77777777" w:rsidR="00E05750" w:rsidRPr="008F6C41" w:rsidRDefault="00E05750" w:rsidP="00E05750"/>
    <w:p w14:paraId="628BC6FD" w14:textId="347B886B" w:rsidR="00E05750" w:rsidRPr="008F6C41" w:rsidRDefault="00D36735" w:rsidP="00E05750">
      <w:r w:rsidRPr="008F6C41">
        <w:t>Whereas, T</w:t>
      </w:r>
      <w:r w:rsidR="00E05750" w:rsidRPr="008F6C41">
        <w:t>he current bill excludes courses from CCAP partnerships that are “oversubscribed or have a waitlist,”</w:t>
      </w:r>
      <w:r w:rsidR="008C101C" w:rsidRPr="008F6C41">
        <w:t xml:space="preserve"> </w:t>
      </w:r>
      <w:r w:rsidR="00E05750" w:rsidRPr="008F6C41">
        <w:t>limiting the development of partnerships;</w:t>
      </w:r>
    </w:p>
    <w:p w14:paraId="275DD1F8" w14:textId="77777777" w:rsidR="00E05750" w:rsidRPr="008F6C41" w:rsidRDefault="00E05750" w:rsidP="00E05750"/>
    <w:p w14:paraId="554CECD0" w14:textId="0A87F240" w:rsidR="00E05750" w:rsidRPr="008F6C41" w:rsidRDefault="00D36735" w:rsidP="00E05750">
      <w:r w:rsidRPr="008F6C41">
        <w:t>Resolved, T</w:t>
      </w:r>
      <w:r w:rsidR="00E05750" w:rsidRPr="008F6C41">
        <w:t>hat the Academic Senate for California Commun</w:t>
      </w:r>
      <w:r w:rsidR="00782FA7">
        <w:t>ity Colleges work with the California Community Colleges Chancellor’s O</w:t>
      </w:r>
      <w:r w:rsidR="00E05750" w:rsidRPr="008F6C41">
        <w:t>ffice to clarify the impact of this clause in its legal opinion;</w:t>
      </w:r>
      <w:r w:rsidR="00782FA7">
        <w:t xml:space="preserve"> and</w:t>
      </w:r>
    </w:p>
    <w:p w14:paraId="0325B99D" w14:textId="77777777" w:rsidR="00E05750" w:rsidRPr="008F6C41" w:rsidRDefault="00E05750" w:rsidP="00E05750"/>
    <w:p w14:paraId="594E6B8A" w14:textId="2653F6E8" w:rsidR="00E05750" w:rsidRPr="008F6C41" w:rsidRDefault="00D36735" w:rsidP="00E05750">
      <w:r w:rsidRPr="008F6C41">
        <w:t>Resolved, T</w:t>
      </w:r>
      <w:r w:rsidR="00E05750" w:rsidRPr="008F6C41">
        <w:t xml:space="preserve">hat the </w:t>
      </w:r>
      <w:r w:rsidR="00782FA7" w:rsidRPr="008F6C41">
        <w:t>Academic Senate for California Commun</w:t>
      </w:r>
      <w:r w:rsidR="00782FA7">
        <w:t>ity Colleges</w:t>
      </w:r>
      <w:r w:rsidR="00E05750" w:rsidRPr="008F6C41">
        <w:t xml:space="preserve"> work with the bill’s author to revise the language and interpretation. </w:t>
      </w:r>
    </w:p>
    <w:p w14:paraId="30806D1F" w14:textId="77777777" w:rsidR="00E05750" w:rsidRPr="008F6C41" w:rsidRDefault="00E05750" w:rsidP="00E05750"/>
    <w:p w14:paraId="49E6FC87" w14:textId="3F6FF977" w:rsidR="00E05750" w:rsidRPr="008F6C41" w:rsidRDefault="00B47F2D" w:rsidP="00E05750">
      <w:r>
        <w:t>Contact: Aimee Myers, Sierra College</w:t>
      </w:r>
    </w:p>
    <w:p w14:paraId="14B05E30" w14:textId="77777777" w:rsidR="00C06B9A" w:rsidRDefault="00C06B9A" w:rsidP="0086116E"/>
    <w:p w14:paraId="5E98ACDC" w14:textId="19F7B4C5" w:rsidR="00065459" w:rsidRDefault="00065459" w:rsidP="00103979">
      <w:pPr>
        <w:pStyle w:val="Heading1"/>
      </w:pPr>
      <w:bookmarkStart w:id="5" w:name="_Toc359180144"/>
      <w:r>
        <w:t>10.0 Disciplines List</w:t>
      </w:r>
      <w:bookmarkEnd w:id="5"/>
    </w:p>
    <w:p w14:paraId="222C564E" w14:textId="01CCD7F3" w:rsidR="00065459" w:rsidRDefault="00DC06C6" w:rsidP="00BA1BE1">
      <w:pPr>
        <w:pStyle w:val="Heading2"/>
      </w:pPr>
      <w:bookmarkStart w:id="6" w:name="_Toc359180145"/>
      <w:r>
        <w:t>*</w:t>
      </w:r>
      <w:r w:rsidR="00065459">
        <w:t>10.01 Amend Minimum Qualifications for Reading</w:t>
      </w:r>
      <w:bookmarkEnd w:id="6"/>
    </w:p>
    <w:p w14:paraId="4CAD8903" w14:textId="77777777" w:rsidR="00103979" w:rsidRPr="00065459" w:rsidRDefault="00103979" w:rsidP="00065459"/>
    <w:p w14:paraId="386E2317" w14:textId="2644B653" w:rsidR="00103979" w:rsidRPr="00065459" w:rsidRDefault="00103979" w:rsidP="00065459">
      <w:r w:rsidRPr="00065459">
        <w:t>Whereas</w:t>
      </w:r>
      <w:r w:rsidR="00065459">
        <w:t>, T</w:t>
      </w:r>
      <w:r w:rsidRPr="00065459">
        <w:t>he Minimum Qualifications for the discipline of Reading are defined as:</w:t>
      </w:r>
    </w:p>
    <w:p w14:paraId="130C0FB5" w14:textId="79D8C2CE" w:rsidR="00103979" w:rsidRDefault="00103979" w:rsidP="004B4508">
      <w:r w:rsidRPr="00065459">
        <w:t>Master’s in education with a specialization in reading or teaching reading OR Bachelor’s in any academic discipline AND Twelve semester units of course work in teaching reading AND Master’s in English, literature, linguistics, applied linguistics, composition, comparative literature, TESL or psychol</w:t>
      </w:r>
      <w:r w:rsidR="004B4508">
        <w:t>ogy OR the equivalent;</w:t>
      </w:r>
    </w:p>
    <w:p w14:paraId="4EB7CFC4" w14:textId="77777777" w:rsidR="00065459" w:rsidRPr="00065459" w:rsidRDefault="00065459" w:rsidP="00065459"/>
    <w:p w14:paraId="6E0E1B3E" w14:textId="2A3C6E8D" w:rsidR="00103979" w:rsidRDefault="00103979" w:rsidP="00065459">
      <w:r w:rsidRPr="00065459">
        <w:t>Whereas</w:t>
      </w:r>
      <w:r w:rsidR="009C0882">
        <w:t>, T</w:t>
      </w:r>
      <w:r w:rsidRPr="00065459">
        <w:t>he Minimum Qua</w:t>
      </w:r>
      <w:r w:rsidR="009C0882">
        <w:t>lifications for Reading require that</w:t>
      </w:r>
      <w:r w:rsidRPr="00065459">
        <w:t xml:space="preserve"> faculty who do not have a Master’s in education with a specialization in reading or </w:t>
      </w:r>
      <w:r w:rsidR="009C0882">
        <w:t>teaching reading must</w:t>
      </w:r>
      <w:r w:rsidRPr="00065459">
        <w:t xml:space="preserve"> have a Master’s in English, literature, linguistics, applied linguistics, composition, comparative literature, TESL </w:t>
      </w:r>
      <w:r w:rsidR="00065459">
        <w:t>or p</w:t>
      </w:r>
      <w:r w:rsidR="009C0882">
        <w:t>sychology OR the equivalent;</w:t>
      </w:r>
    </w:p>
    <w:p w14:paraId="52E138BB" w14:textId="77777777" w:rsidR="00065459" w:rsidRPr="00065459" w:rsidRDefault="00065459" w:rsidP="00065459"/>
    <w:p w14:paraId="35F2AC57" w14:textId="54F6DD42" w:rsidR="00103979" w:rsidRDefault="00103979" w:rsidP="00065459">
      <w:r w:rsidRPr="00065459">
        <w:t>Whereas</w:t>
      </w:r>
      <w:r w:rsidR="009C0882">
        <w:t>, All of the</w:t>
      </w:r>
      <w:r w:rsidRPr="00065459">
        <w:t xml:space="preserve"> Master’s degrees</w:t>
      </w:r>
      <w:r w:rsidR="009C0882">
        <w:t xml:space="preserve"> cited for meeting the Minimum Qualifications for Reading</w:t>
      </w:r>
      <w:r w:rsidRPr="00065459">
        <w:t xml:space="preserve"> are related to the study</w:t>
      </w:r>
      <w:r w:rsidR="00065459">
        <w:t xml:space="preserve"> of language with the exception </w:t>
      </w:r>
      <w:r w:rsidRPr="00065459">
        <w:t>of psychology</w:t>
      </w:r>
      <w:r w:rsidR="00065459">
        <w:t xml:space="preserve">; </w:t>
      </w:r>
      <w:r w:rsidR="009C0882">
        <w:t>and</w:t>
      </w:r>
    </w:p>
    <w:p w14:paraId="2A852E44" w14:textId="77777777" w:rsidR="00DC06C6" w:rsidRPr="00065459" w:rsidRDefault="00DC06C6" w:rsidP="00065459"/>
    <w:p w14:paraId="39CA55EE" w14:textId="623E53CD" w:rsidR="00103979" w:rsidRPr="00065459" w:rsidRDefault="00103979" w:rsidP="00065459">
      <w:r w:rsidRPr="00065459">
        <w:t>Whereas</w:t>
      </w:r>
      <w:r w:rsidR="009C0882">
        <w:t>, F</w:t>
      </w:r>
      <w:r w:rsidRPr="00065459">
        <w:t>oreign languages are inherently included within the study of language and literature in general and topically related to English, literature, linguistics, applied linguistics, composition, comparative literature, TESL and psychology</w:t>
      </w:r>
      <w:r w:rsidR="00543ED3">
        <w:t>;</w:t>
      </w:r>
    </w:p>
    <w:p w14:paraId="224F5A83" w14:textId="77777777" w:rsidR="00103979" w:rsidRPr="00065459" w:rsidRDefault="00103979" w:rsidP="00065459"/>
    <w:p w14:paraId="486840E8" w14:textId="222A6371" w:rsidR="00103979" w:rsidRPr="00065459" w:rsidRDefault="00103979" w:rsidP="00065459">
      <w:r w:rsidRPr="00065459">
        <w:t>Resolved</w:t>
      </w:r>
      <w:r w:rsidR="00543ED3">
        <w:t>,</w:t>
      </w:r>
      <w:r w:rsidR="00065459">
        <w:t xml:space="preserve"> </w:t>
      </w:r>
      <w:r w:rsidR="00543ED3">
        <w:t>That the Academic Senate for California Community Colleges</w:t>
      </w:r>
      <w:r w:rsidRPr="00065459">
        <w:t xml:space="preserve"> propose the following changes to the Minimum Qualifications for Reading:</w:t>
      </w:r>
      <w:r w:rsidR="00065459">
        <w:t xml:space="preserve"> </w:t>
      </w:r>
      <w:r w:rsidRPr="00065459">
        <w:t>Master’s in education with a specialization in</w:t>
      </w:r>
      <w:r w:rsidR="00065459">
        <w:t xml:space="preserve"> reading or teaching reading OR </w:t>
      </w:r>
      <w:r w:rsidRPr="00065459">
        <w:t>Bachelor’s in any academic discipline AND Twelve semester u</w:t>
      </w:r>
      <w:r w:rsidR="00065459">
        <w:t xml:space="preserve">nits of course work in teaching </w:t>
      </w:r>
      <w:r w:rsidRPr="00065459">
        <w:t>reading AND Master’s in English, literature, linguistics, ap</w:t>
      </w:r>
      <w:r w:rsidR="00065459">
        <w:t xml:space="preserve">plied linguistics, composition, </w:t>
      </w:r>
      <w:r w:rsidRPr="00065459">
        <w:t>comparative literature, TESL or psychology any foreign language OR the equivalent.</w:t>
      </w:r>
    </w:p>
    <w:p w14:paraId="4EDEB984" w14:textId="77777777" w:rsidR="00065459" w:rsidRDefault="00065459" w:rsidP="0086116E"/>
    <w:p w14:paraId="37854CB8" w14:textId="0F0A63E6" w:rsidR="00065459" w:rsidRPr="00065459" w:rsidRDefault="00065459" w:rsidP="00065459">
      <w:r>
        <w:t xml:space="preserve">Contact: Michael </w:t>
      </w:r>
      <w:proofErr w:type="spellStart"/>
      <w:r>
        <w:t>Berke</w:t>
      </w:r>
      <w:proofErr w:type="spellEnd"/>
      <w:r>
        <w:t xml:space="preserve">, </w:t>
      </w:r>
      <w:r w:rsidRPr="00065459">
        <w:t>San Jose City College</w:t>
      </w:r>
    </w:p>
    <w:p w14:paraId="2F4927F7" w14:textId="77777777" w:rsidR="00065459" w:rsidRDefault="00065459" w:rsidP="0086116E"/>
    <w:p w14:paraId="11C08A0D" w14:textId="7E2686CD" w:rsidR="008F6C41" w:rsidRPr="008F6C41" w:rsidRDefault="008F6C41" w:rsidP="00103979">
      <w:pPr>
        <w:pStyle w:val="Heading1"/>
      </w:pPr>
      <w:bookmarkStart w:id="7" w:name="_Toc359180146"/>
      <w:r>
        <w:t>12.0 Facu</w:t>
      </w:r>
      <w:r w:rsidR="00B65460">
        <w:t>lty Development</w:t>
      </w:r>
      <w:bookmarkEnd w:id="7"/>
    </w:p>
    <w:p w14:paraId="227CE220" w14:textId="524CA7E4" w:rsidR="008F6C41" w:rsidRPr="00BA1BE1" w:rsidRDefault="00DC06C6" w:rsidP="00BA1BE1">
      <w:pPr>
        <w:pStyle w:val="Heading2"/>
      </w:pPr>
      <w:bookmarkStart w:id="8" w:name="_Toc359180147"/>
      <w:r>
        <w:t>*</w:t>
      </w:r>
      <w:r w:rsidR="008F6C41" w:rsidRPr="00BA1BE1">
        <w:t>12.01 M17 Support for Faculty Leadership Training</w:t>
      </w:r>
      <w:bookmarkEnd w:id="8"/>
      <w:r w:rsidR="008F6C41" w:rsidRPr="00BA1BE1">
        <w:t> </w:t>
      </w:r>
    </w:p>
    <w:p w14:paraId="2BFBB174" w14:textId="77777777" w:rsidR="008F6C41" w:rsidRPr="008F6C41" w:rsidRDefault="008F6C41" w:rsidP="008F6C41">
      <w:pPr>
        <w:shd w:val="clear" w:color="auto" w:fill="FFFFFF"/>
        <w:rPr>
          <w:rFonts w:eastAsia="Times New Roman"/>
          <w:color w:val="000000"/>
        </w:rPr>
      </w:pPr>
    </w:p>
    <w:p w14:paraId="71D38215" w14:textId="0D8F0694" w:rsidR="008F6C41" w:rsidRPr="008F6C41" w:rsidRDefault="00EC5AD5" w:rsidP="008F6C41">
      <w:pPr>
        <w:shd w:val="clear" w:color="auto" w:fill="FFFFFF"/>
        <w:rPr>
          <w:rFonts w:eastAsia="Times New Roman"/>
          <w:color w:val="000000"/>
        </w:rPr>
      </w:pPr>
      <w:r>
        <w:rPr>
          <w:rFonts w:eastAsia="Times New Roman"/>
          <w:color w:val="000000"/>
        </w:rPr>
        <w:t>Whereas, M</w:t>
      </w:r>
      <w:r w:rsidR="008F6C41" w:rsidRPr="008F6C41">
        <w:rPr>
          <w:rFonts w:eastAsia="Times New Roman"/>
          <w:color w:val="000000"/>
        </w:rPr>
        <w:t>any local senates do not have sufficient funds to support faculty leadership opportunities;</w:t>
      </w:r>
      <w:r>
        <w:rPr>
          <w:rFonts w:eastAsia="Times New Roman"/>
          <w:color w:val="000000"/>
        </w:rPr>
        <w:t xml:space="preserve"> and</w:t>
      </w:r>
    </w:p>
    <w:p w14:paraId="5A3262C1" w14:textId="200C2909" w:rsidR="008F6C41" w:rsidRPr="008F6C41" w:rsidRDefault="00EC5AD5" w:rsidP="008F6C41">
      <w:pPr>
        <w:shd w:val="clear" w:color="auto" w:fill="FFFFFF"/>
        <w:rPr>
          <w:rFonts w:eastAsia="Times New Roman"/>
          <w:color w:val="000000"/>
        </w:rPr>
      </w:pPr>
      <w:r>
        <w:rPr>
          <w:rFonts w:eastAsia="Times New Roman"/>
          <w:color w:val="000000"/>
        </w:rPr>
        <w:br/>
        <w:t>Whereas, I</w:t>
      </w:r>
      <w:r w:rsidR="008F6C41" w:rsidRPr="008F6C41">
        <w:rPr>
          <w:rFonts w:eastAsia="Times New Roman"/>
          <w:color w:val="000000"/>
        </w:rPr>
        <w:t>t is critical for local faculty leaders to attend Plenary and other Academic Senate for California Community College</w:t>
      </w:r>
      <w:r>
        <w:rPr>
          <w:rFonts w:eastAsia="Times New Roman"/>
          <w:color w:val="000000"/>
        </w:rPr>
        <w:t>s events</w:t>
      </w:r>
      <w:r w:rsidR="008F6C41" w:rsidRPr="008F6C41">
        <w:rPr>
          <w:rFonts w:eastAsia="Times New Roman"/>
          <w:color w:val="000000"/>
        </w:rPr>
        <w:t xml:space="preserve"> for leadership development and to learn the state landscape;</w:t>
      </w:r>
    </w:p>
    <w:p w14:paraId="5A035B28" w14:textId="2E797FC8" w:rsidR="008F6C41" w:rsidRPr="008F6C41" w:rsidRDefault="008F6C41" w:rsidP="008F6C41">
      <w:pPr>
        <w:shd w:val="clear" w:color="auto" w:fill="FFFFFF"/>
        <w:rPr>
          <w:rFonts w:eastAsia="Times New Roman"/>
          <w:color w:val="000000"/>
        </w:rPr>
      </w:pPr>
      <w:r>
        <w:rPr>
          <w:rFonts w:eastAsia="Times New Roman"/>
          <w:color w:val="000000"/>
        </w:rPr>
        <w:br/>
        <w:t>Resolved, T</w:t>
      </w:r>
      <w:r w:rsidRPr="008F6C41">
        <w:rPr>
          <w:rFonts w:eastAsia="Times New Roman"/>
          <w:color w:val="000000"/>
        </w:rPr>
        <w:t xml:space="preserve">hat </w:t>
      </w:r>
      <w:r>
        <w:rPr>
          <w:rFonts w:eastAsia="Times New Roman"/>
          <w:color w:val="000000"/>
        </w:rPr>
        <w:t xml:space="preserve">the </w:t>
      </w:r>
      <w:r w:rsidRPr="008F6C41">
        <w:rPr>
          <w:rFonts w:eastAsia="Times New Roman"/>
          <w:color w:val="000000"/>
        </w:rPr>
        <w:t>Academic Senate for California Community Colleges strongly encourage local senates to actively work with their administration to provide funds for faculty leadership training opportunities</w:t>
      </w:r>
      <w:r w:rsidR="00EC5AD5">
        <w:rPr>
          <w:rFonts w:eastAsia="Times New Roman"/>
          <w:color w:val="000000"/>
        </w:rPr>
        <w:t xml:space="preserve"> at Academic Senate for California Colleges events</w:t>
      </w:r>
      <w:r w:rsidRPr="008F6C41">
        <w:rPr>
          <w:rFonts w:eastAsia="Times New Roman"/>
          <w:color w:val="000000"/>
        </w:rPr>
        <w:t xml:space="preserve"> such as</w:t>
      </w:r>
      <w:r w:rsidR="00EC5AD5">
        <w:rPr>
          <w:rFonts w:eastAsia="Times New Roman"/>
          <w:color w:val="000000"/>
        </w:rPr>
        <w:t xml:space="preserve"> the</w:t>
      </w:r>
      <w:r w:rsidRPr="008F6C41">
        <w:rPr>
          <w:rFonts w:eastAsia="Times New Roman"/>
          <w:color w:val="000000"/>
        </w:rPr>
        <w:t xml:space="preserve"> Faculty</w:t>
      </w:r>
      <w:r w:rsidR="00EC5AD5">
        <w:rPr>
          <w:rFonts w:eastAsia="Times New Roman"/>
          <w:color w:val="000000"/>
        </w:rPr>
        <w:t xml:space="preserve"> Leadership Institute, Plenary Sessions</w:t>
      </w:r>
      <w:r w:rsidRPr="008F6C41">
        <w:rPr>
          <w:rFonts w:eastAsia="Times New Roman"/>
          <w:color w:val="000000"/>
        </w:rPr>
        <w:t xml:space="preserve"> and </w:t>
      </w:r>
      <w:r w:rsidR="00EC5AD5">
        <w:rPr>
          <w:rFonts w:eastAsia="Times New Roman"/>
          <w:color w:val="000000"/>
        </w:rPr>
        <w:t xml:space="preserve">the </w:t>
      </w:r>
      <w:r w:rsidRPr="008F6C41">
        <w:rPr>
          <w:rFonts w:eastAsia="Times New Roman"/>
          <w:color w:val="000000"/>
        </w:rPr>
        <w:t>Curriculum Institute.</w:t>
      </w:r>
    </w:p>
    <w:p w14:paraId="4DCCED97" w14:textId="77777777" w:rsidR="008F6C41" w:rsidRPr="008F6C41" w:rsidRDefault="008F6C41" w:rsidP="008F6C41">
      <w:pPr>
        <w:shd w:val="clear" w:color="auto" w:fill="FFFFFF"/>
        <w:rPr>
          <w:rFonts w:eastAsia="Times New Roman"/>
          <w:color w:val="000000"/>
        </w:rPr>
      </w:pPr>
    </w:p>
    <w:p w14:paraId="053B1231" w14:textId="49C38E73" w:rsidR="008F6C41" w:rsidRDefault="008F6C41" w:rsidP="008F6C41">
      <w:pPr>
        <w:rPr>
          <w:rFonts w:eastAsia="Times New Roman"/>
          <w:color w:val="000000"/>
        </w:rPr>
      </w:pPr>
      <w:r w:rsidRPr="008F6C41">
        <w:rPr>
          <w:rFonts w:eastAsia="Times New Roman"/>
          <w:color w:val="000000"/>
        </w:rPr>
        <w:t>Contact: Erik Reese, Moorpark College</w:t>
      </w:r>
    </w:p>
    <w:p w14:paraId="6E3CAE63" w14:textId="77777777" w:rsidR="008F6C41" w:rsidRPr="008F6C41" w:rsidRDefault="008F6C41" w:rsidP="008F6C41"/>
    <w:p w14:paraId="566E64BF" w14:textId="74F5AC54" w:rsidR="00712471" w:rsidRPr="00103979" w:rsidRDefault="00103979" w:rsidP="00103979">
      <w:pPr>
        <w:pStyle w:val="Heading1"/>
      </w:pPr>
      <w:bookmarkStart w:id="9" w:name="_Toc359180148"/>
      <w:r w:rsidRPr="00103979">
        <w:t>13</w:t>
      </w:r>
      <w:r>
        <w:t>.0</w:t>
      </w:r>
      <w:r w:rsidRPr="00103979">
        <w:t xml:space="preserve"> GENERAL CONCERNS</w:t>
      </w:r>
      <w:bookmarkEnd w:id="9"/>
    </w:p>
    <w:p w14:paraId="4D1A1D6C" w14:textId="2E52829E" w:rsidR="00C06B9A" w:rsidRPr="008F6C41" w:rsidRDefault="00DC06C6" w:rsidP="00BA1BE1">
      <w:pPr>
        <w:pStyle w:val="Heading2"/>
      </w:pPr>
      <w:bookmarkStart w:id="10" w:name="_Toc359180149"/>
      <w:r>
        <w:t>*</w:t>
      </w:r>
      <w:r w:rsidR="00712471" w:rsidRPr="008F6C41">
        <w:t xml:space="preserve">13.01 M17 </w:t>
      </w:r>
      <w:r w:rsidR="00C06B9A" w:rsidRPr="008F6C41">
        <w:t>Dietary Equity and Access to Quality Plenary and Institute Dining</w:t>
      </w:r>
      <w:bookmarkEnd w:id="10"/>
    </w:p>
    <w:p w14:paraId="7DE784BC" w14:textId="77777777" w:rsidR="00C06B9A" w:rsidRPr="008F6C41" w:rsidRDefault="00C06B9A" w:rsidP="0086116E"/>
    <w:p w14:paraId="35DC0B98" w14:textId="77777777" w:rsidR="00C06B9A" w:rsidRPr="008F6C41" w:rsidRDefault="00C06B9A" w:rsidP="0086116E">
      <w:r w:rsidRPr="008F6C41">
        <w:t>Whereas, The United States Food and Drug Administration recommends 2000 calories per day for a healthy diet for the average American, and variety and quality of diet are recommended as hallmarks of health and well-being;</w:t>
      </w:r>
    </w:p>
    <w:p w14:paraId="1E9DE96B" w14:textId="77777777" w:rsidR="00712471" w:rsidRPr="008F6C41" w:rsidRDefault="00712471" w:rsidP="0086116E"/>
    <w:p w14:paraId="55B5A441" w14:textId="77777777" w:rsidR="00C06B9A" w:rsidRPr="008F6C41" w:rsidRDefault="00C06B9A" w:rsidP="0086116E">
      <w:r w:rsidRPr="008F6C41">
        <w:t>Whereas, Past Academic Senate for California Community Colleges (ASCCC) plenary and institute meals provided at hotels have traditionally shown disparity in caloric content, variety and quality between the meals served to meat-eaters and meals served to vegetarians, resulting in vegetarians experiencing much disappointment, low nourishment, waning engagement and flagging energy towards the end of several days of plenary and institute sessions;</w:t>
      </w:r>
    </w:p>
    <w:p w14:paraId="2B106698" w14:textId="77777777" w:rsidR="00712471" w:rsidRPr="008F6C41" w:rsidRDefault="00712471" w:rsidP="0086116E"/>
    <w:p w14:paraId="346B29E1" w14:textId="77777777" w:rsidR="00C06B9A" w:rsidRPr="008F6C41" w:rsidRDefault="00C06B9A" w:rsidP="0086116E">
      <w:r w:rsidRPr="008F6C41">
        <w:t>Whereas, The election of a vegetarian to the position of ASCCC President reflected a marked change in the quality of dietary options for vegetarians who attend ASCCC plenaries and institutes, resulting in higher engagement in plenary and institute dining, greater stamina in voting and debating, elimination of dietary bias, and overall wellbeing of the senate; and</w:t>
      </w:r>
    </w:p>
    <w:p w14:paraId="2F3C9BF4" w14:textId="77777777" w:rsidR="00712471" w:rsidRPr="008F6C41" w:rsidRDefault="00712471" w:rsidP="0086116E"/>
    <w:p w14:paraId="48C59888" w14:textId="77777777" w:rsidR="00712471" w:rsidRPr="008F6C41" w:rsidRDefault="00C06B9A" w:rsidP="0086116E">
      <w:r w:rsidRPr="008F6C41">
        <w:t>Whereas, Dietary equity is a vital element to quality participatory governance because it ensures stamina for robust discussion while reflecting a commitment to unimpeded and unbiased access to quality plenary and institute dining;</w:t>
      </w:r>
    </w:p>
    <w:p w14:paraId="5277BBD9" w14:textId="77777777" w:rsidR="00712471" w:rsidRPr="008F6C41" w:rsidRDefault="00712471" w:rsidP="0086116E"/>
    <w:p w14:paraId="40D39F40" w14:textId="5F797B30" w:rsidR="00C06B9A" w:rsidRPr="008F6C41" w:rsidRDefault="00C06B9A" w:rsidP="0086116E">
      <w:r w:rsidRPr="008F6C41">
        <w:t>Resolved, That the Academic Senates for California Community Colleges commit to future work with their hotel site partners wherever plenaries and institutes are held to ensure the continued access to quality plenary and institute dining in order to affirm and assure dietary equity for all senate attendees.</w:t>
      </w:r>
    </w:p>
    <w:p w14:paraId="1191209C" w14:textId="77777777" w:rsidR="00C06B9A" w:rsidRPr="008F6C41" w:rsidRDefault="00C06B9A" w:rsidP="0086116E">
      <w:r w:rsidRPr="008F6C41">
        <w:br/>
        <w:t>Contact:  Leigh Anne Shaw, Skyline College</w:t>
      </w:r>
      <w:r w:rsidRPr="008F6C41">
        <w:br/>
      </w:r>
      <w:r w:rsidRPr="008F6C41">
        <w:br/>
        <w:t>Citation:</w:t>
      </w:r>
      <w:r w:rsidRPr="008F6C41">
        <w:br/>
        <w:t>Food and Drug Administration (2015). Guidance for Industry: A Food Labeling Guide (14. Appendix F: Calculate the Percent Daily Value for the Appropriate Nutrients)</w:t>
      </w:r>
    </w:p>
    <w:p w14:paraId="617C721C" w14:textId="77777777" w:rsidR="00C06B9A" w:rsidRPr="008F6C41" w:rsidRDefault="00C06B9A" w:rsidP="0086116E">
      <w:r w:rsidRPr="008F6C41">
        <w:t xml:space="preserve">&lt; </w:t>
      </w:r>
      <w:hyperlink r:id="rId12" w:history="1">
        <w:r w:rsidRPr="008F6C41">
          <w:t xml:space="preserve">https://www.fda.gov/Food/GuidanceRegulation/ </w:t>
        </w:r>
        <w:proofErr w:type="spellStart"/>
        <w:r w:rsidRPr="008F6C41">
          <w:t>GuidanceDocumentsRegulatoryInformation</w:t>
        </w:r>
        <w:proofErr w:type="spellEnd"/>
        <w:r w:rsidRPr="008F6C41">
          <w:t xml:space="preserve">/ </w:t>
        </w:r>
        <w:proofErr w:type="spellStart"/>
        <w:r w:rsidRPr="008F6C41">
          <w:t>LabelingNutrition</w:t>
        </w:r>
        <w:proofErr w:type="spellEnd"/>
        <w:r w:rsidRPr="008F6C41">
          <w:t>/ucm064928.htm</w:t>
        </w:r>
      </w:hyperlink>
      <w:r w:rsidRPr="008F6C41">
        <w:t>&gt; Accessed June 15, 2017.</w:t>
      </w:r>
    </w:p>
    <w:p w14:paraId="52DC6D5E" w14:textId="77777777" w:rsidR="00C06B9A" w:rsidRPr="008F6C41" w:rsidRDefault="00C06B9A" w:rsidP="0086116E"/>
    <w:p w14:paraId="1164EA92" w14:textId="47E7BB47" w:rsidR="00C06B9A" w:rsidRPr="008F6C41" w:rsidRDefault="00DC06C6" w:rsidP="00BA1BE1">
      <w:pPr>
        <w:pStyle w:val="Heading2"/>
      </w:pPr>
      <w:bookmarkStart w:id="11" w:name="_Toc359180150"/>
      <w:r>
        <w:t>*</w:t>
      </w:r>
      <w:r w:rsidR="00072BD0" w:rsidRPr="008F6C41">
        <w:t>13.02 M17</w:t>
      </w:r>
      <w:r w:rsidR="00C06B9A" w:rsidRPr="008F6C41">
        <w:t xml:space="preserve"> Achieving Good Vibes</w:t>
      </w:r>
      <w:bookmarkEnd w:id="11"/>
    </w:p>
    <w:p w14:paraId="50256EC1" w14:textId="77777777" w:rsidR="00950DCD" w:rsidRDefault="00950DCD" w:rsidP="0086116E"/>
    <w:p w14:paraId="566FA597" w14:textId="342EED67" w:rsidR="00C06B9A" w:rsidRPr="008F6C41" w:rsidRDefault="00D36735" w:rsidP="0086116E">
      <w:r w:rsidRPr="008F6C41">
        <w:t>Whereas, The academic s</w:t>
      </w:r>
      <w:r w:rsidR="00C06B9A" w:rsidRPr="008F6C41">
        <w:t>enate leaders are tasked with maintaining a collegial environment;</w:t>
      </w:r>
    </w:p>
    <w:p w14:paraId="14308253" w14:textId="77777777" w:rsidR="00C06B9A" w:rsidRPr="008F6C41" w:rsidRDefault="00C06B9A" w:rsidP="0086116E"/>
    <w:p w14:paraId="24047648" w14:textId="538802B1" w:rsidR="00C06B9A" w:rsidRPr="008F6C41" w:rsidRDefault="00D36735" w:rsidP="0086116E">
      <w:r w:rsidRPr="008F6C41">
        <w:t>Whereas, N</w:t>
      </w:r>
      <w:r w:rsidR="00C06B9A" w:rsidRPr="008F6C41">
        <w:t>ot everyone behaves in a collegial manner, particularly when difficult discussions are taking place;</w:t>
      </w:r>
      <w:r w:rsidR="00950DCD">
        <w:t xml:space="preserve"> and</w:t>
      </w:r>
    </w:p>
    <w:p w14:paraId="5A3A709C" w14:textId="77777777" w:rsidR="00C06B9A" w:rsidRPr="008F6C41" w:rsidRDefault="00C06B9A" w:rsidP="0086116E"/>
    <w:p w14:paraId="0EFF0351" w14:textId="0A860C06" w:rsidR="00C06B9A" w:rsidRPr="008F6C41" w:rsidRDefault="00D36735" w:rsidP="0086116E">
      <w:r w:rsidRPr="008F6C41">
        <w:t>Whereas, I</w:t>
      </w:r>
      <w:r w:rsidR="00C06B9A" w:rsidRPr="008F6C41">
        <w:t xml:space="preserve">t takes great skill to maintain a collegial environment, requiring a </w:t>
      </w:r>
      <w:r w:rsidR="00950DCD">
        <w:t>specific skill set and training;</w:t>
      </w:r>
    </w:p>
    <w:p w14:paraId="682EEA74" w14:textId="77777777" w:rsidR="00C06B9A" w:rsidRPr="008F6C41" w:rsidRDefault="00C06B9A" w:rsidP="0086116E">
      <w:r w:rsidRPr="008F6C41">
        <w:t xml:space="preserve"> </w:t>
      </w:r>
    </w:p>
    <w:p w14:paraId="6AE54E89" w14:textId="23DC2934" w:rsidR="00C06B9A" w:rsidRPr="008F6C41" w:rsidRDefault="00D36735" w:rsidP="0086116E">
      <w:r w:rsidRPr="008F6C41">
        <w:t>Resolved, T</w:t>
      </w:r>
      <w:r w:rsidR="00C06B9A" w:rsidRPr="008F6C41">
        <w:t>hat the Academic Senate for California Community Colleges work with the state chancellor’s office to establish a new “Vibes Watching” discipline;</w:t>
      </w:r>
      <w:r w:rsidR="00950DCD">
        <w:t xml:space="preserve"> and</w:t>
      </w:r>
    </w:p>
    <w:p w14:paraId="7A02DB45" w14:textId="77777777" w:rsidR="00C06B9A" w:rsidRPr="008F6C41" w:rsidRDefault="00C06B9A" w:rsidP="0086116E"/>
    <w:p w14:paraId="5AA2EFDC" w14:textId="1449FA96" w:rsidR="00C06B9A" w:rsidRPr="008F6C41" w:rsidRDefault="00D36735" w:rsidP="0086116E">
      <w:r w:rsidRPr="008F6C41">
        <w:t>Resolved, T</w:t>
      </w:r>
      <w:r w:rsidR="00C06B9A" w:rsidRPr="008F6C41">
        <w:t>hat the Academic Senate for California Community Colleges create a task force to identify minimum qualifications for the new “Vibes Watching” discipline.</w:t>
      </w:r>
    </w:p>
    <w:p w14:paraId="57174899" w14:textId="77777777" w:rsidR="00C06B9A" w:rsidRPr="008F6C41" w:rsidRDefault="00C06B9A" w:rsidP="0086116E"/>
    <w:p w14:paraId="3348EBFA" w14:textId="4061C51C" w:rsidR="00C06B9A" w:rsidRPr="008F6C41" w:rsidRDefault="00072BD0" w:rsidP="0086116E">
      <w:r w:rsidRPr="008F6C41">
        <w:t>Contact: Constance Carter, Cosumnes River College</w:t>
      </w:r>
    </w:p>
    <w:p w14:paraId="0F9199DC" w14:textId="77777777" w:rsidR="00C06B9A" w:rsidRPr="008F6C41" w:rsidRDefault="00C06B9A" w:rsidP="0086116E"/>
    <w:p w14:paraId="6511CF82" w14:textId="2008800A" w:rsidR="00CC6635" w:rsidRPr="008F6C41" w:rsidRDefault="00DC06C6" w:rsidP="00BA1BE1">
      <w:pPr>
        <w:pStyle w:val="Heading2"/>
      </w:pPr>
      <w:bookmarkStart w:id="12" w:name="_Toc359180151"/>
      <w:r>
        <w:t>*</w:t>
      </w:r>
      <w:r w:rsidR="00CC6635" w:rsidRPr="008F6C41">
        <w:t xml:space="preserve">13.03 </w:t>
      </w:r>
      <w:r w:rsidR="00293112" w:rsidRPr="008F6C41">
        <w:t xml:space="preserve">M17 </w:t>
      </w:r>
      <w:r w:rsidR="00CC6635" w:rsidRPr="008F6C41">
        <w:t>Recommendations for Financial Recovery Plan</w:t>
      </w:r>
      <w:bookmarkEnd w:id="12"/>
    </w:p>
    <w:p w14:paraId="6329EB57" w14:textId="77777777" w:rsidR="00CC6635" w:rsidRPr="008F6C41" w:rsidRDefault="00CC6635" w:rsidP="0086116E"/>
    <w:p w14:paraId="68C2BF82" w14:textId="4716CB2A" w:rsidR="00CC6635" w:rsidRPr="008F6C41" w:rsidRDefault="00CC6635" w:rsidP="00CC6635">
      <w:r w:rsidRPr="008F6C41">
        <w:t>Whereas, Los Angeles Southwest College has been functioning in</w:t>
      </w:r>
      <w:r w:rsidR="000B3EBA" w:rsidRPr="008F6C41">
        <w:t xml:space="preserve"> a deficit</w:t>
      </w:r>
      <w:r w:rsidR="00950DCD">
        <w:t xml:space="preserve"> budget</w:t>
      </w:r>
      <w:r w:rsidR="000B3EBA" w:rsidRPr="008F6C41">
        <w:t xml:space="preserve"> for the last 5-years;</w:t>
      </w:r>
    </w:p>
    <w:p w14:paraId="18790D6A" w14:textId="77777777" w:rsidR="000B3EBA" w:rsidRPr="008F6C41" w:rsidRDefault="000B3EBA" w:rsidP="00CC6635"/>
    <w:p w14:paraId="1239DA76" w14:textId="2D2389B4" w:rsidR="00CC6635" w:rsidRPr="008F6C41" w:rsidRDefault="000B3EBA" w:rsidP="00CC6635">
      <w:r w:rsidRPr="008F6C41">
        <w:t>Whereas, T</w:t>
      </w:r>
      <w:r w:rsidR="00CC6635" w:rsidRPr="008F6C41">
        <w:t>he Los Angeles Community College District has instructed Los Angeles Southwest College to develop a financial recovery plan with the goal of</w:t>
      </w:r>
      <w:r w:rsidRPr="008F6C41">
        <w:t xml:space="preserve"> being out of a deficit by 2020;</w:t>
      </w:r>
    </w:p>
    <w:p w14:paraId="507E9A7D" w14:textId="77777777" w:rsidR="00CC6635" w:rsidRPr="008F6C41" w:rsidRDefault="00CC6635" w:rsidP="00CC6635"/>
    <w:p w14:paraId="23F97B0A" w14:textId="507CD70F" w:rsidR="00CC6635" w:rsidRPr="008F6C41" w:rsidRDefault="000B3EBA" w:rsidP="00CC6635">
      <w:r w:rsidRPr="008F6C41">
        <w:t>Whereas, T</w:t>
      </w:r>
      <w:r w:rsidR="00CC6635" w:rsidRPr="008F6C41">
        <w:t>he administrators of the Los Angeles Southwest College has developed the plan without the input of the faculty</w:t>
      </w:r>
      <w:r w:rsidR="000F7107" w:rsidRPr="008F6C41">
        <w:t>;</w:t>
      </w:r>
      <w:r w:rsidR="00CC6635" w:rsidRPr="008F6C41">
        <w:t xml:space="preserve"> </w:t>
      </w:r>
      <w:r w:rsidR="00950DCD">
        <w:t>and</w:t>
      </w:r>
    </w:p>
    <w:p w14:paraId="34F1E901" w14:textId="77777777" w:rsidR="00CC6635" w:rsidRPr="008F6C41" w:rsidRDefault="00CC6635" w:rsidP="00CC6635"/>
    <w:p w14:paraId="44FFC22B" w14:textId="77777777" w:rsidR="00950DCD" w:rsidRDefault="00CC6635" w:rsidP="00CC6635">
      <w:r w:rsidRPr="008F6C41">
        <w:t xml:space="preserve">Whereas, Title 5 </w:t>
      </w:r>
      <w:r w:rsidR="00950DCD">
        <w:t>§</w:t>
      </w:r>
      <w:r w:rsidRPr="008F6C41">
        <w:t>53200</w:t>
      </w:r>
      <w:r w:rsidR="00950DCD">
        <w:t xml:space="preserve"> includes: </w:t>
      </w:r>
    </w:p>
    <w:p w14:paraId="4B5BB861" w14:textId="2FE9306B" w:rsidR="00950DCD" w:rsidRDefault="00950DCD" w:rsidP="00CC6635">
      <w:r>
        <w:t>(b)</w:t>
      </w:r>
      <w:r w:rsidR="00CC6635" w:rsidRPr="008F6C41">
        <w:t xml:space="preserve"> Academic Senate means an organization whose primary function is to make recommendations with respect to academic and professio</w:t>
      </w:r>
      <w:r>
        <w:t xml:space="preserve">nal matters. </w:t>
      </w:r>
    </w:p>
    <w:p w14:paraId="3F8491F2" w14:textId="18BD4412" w:rsidR="00CC6635" w:rsidRPr="008F6C41" w:rsidRDefault="00950DCD" w:rsidP="00CC6635">
      <w:r>
        <w:t>(c</w:t>
      </w:r>
      <w:r w:rsidR="00CC6635" w:rsidRPr="008F6C41">
        <w:t>), “Academic and professional matters” means the following policy development and implementation matters: Processes for institutional planning and budget development.</w:t>
      </w:r>
    </w:p>
    <w:p w14:paraId="5BDFCECC" w14:textId="77777777" w:rsidR="00CC6635" w:rsidRPr="008F6C41" w:rsidRDefault="00CC6635" w:rsidP="00CC6635"/>
    <w:p w14:paraId="340D58CD" w14:textId="6D315724" w:rsidR="00CC6635" w:rsidRPr="008F6C41" w:rsidRDefault="00CC6635" w:rsidP="00CC6635">
      <w:r w:rsidRPr="008F6C41">
        <w:t>Resolved</w:t>
      </w:r>
      <w:r w:rsidR="000B3EBA" w:rsidRPr="008F6C41">
        <w:t>, T</w:t>
      </w:r>
      <w:r w:rsidRPr="008F6C41">
        <w:t>hat</w:t>
      </w:r>
      <w:r w:rsidR="000B3EBA" w:rsidRPr="008F6C41">
        <w:t xml:space="preserve"> the Academic Senate for California Community Colleges assert that f</w:t>
      </w:r>
      <w:r w:rsidRPr="008F6C41">
        <w:t xml:space="preserve">aculty make recommendations in the development and implementation of any financial recovery plan that affects academic and professional matters that can affect student success. </w:t>
      </w:r>
    </w:p>
    <w:p w14:paraId="7F149180" w14:textId="77777777" w:rsidR="00CC6635" w:rsidRPr="008F6C41" w:rsidRDefault="00CC6635" w:rsidP="00CC6635"/>
    <w:p w14:paraId="531EE451" w14:textId="77777777" w:rsidR="00CC6635" w:rsidRPr="008F6C41" w:rsidRDefault="00CC6635" w:rsidP="00CC6635">
      <w:r w:rsidRPr="008F6C41">
        <w:t xml:space="preserve">Contact: Misty </w:t>
      </w:r>
      <w:proofErr w:type="spellStart"/>
      <w:r w:rsidRPr="008F6C41">
        <w:t>Burruel</w:t>
      </w:r>
      <w:proofErr w:type="spellEnd"/>
      <w:r w:rsidRPr="008F6C41">
        <w:t>, Chaffey College</w:t>
      </w:r>
    </w:p>
    <w:p w14:paraId="55E1615E" w14:textId="77777777" w:rsidR="007461B4" w:rsidRPr="008F6C41" w:rsidRDefault="007461B4" w:rsidP="00CC6635"/>
    <w:p w14:paraId="262CEA65" w14:textId="0124D308" w:rsidR="007461B4" w:rsidRPr="008F6C41" w:rsidRDefault="00DC06C6" w:rsidP="00BA1BE1">
      <w:pPr>
        <w:pStyle w:val="Heading2"/>
      </w:pPr>
      <w:bookmarkStart w:id="13" w:name="_Toc359180152"/>
      <w:r>
        <w:t>*</w:t>
      </w:r>
      <w:r w:rsidR="007461B4" w:rsidRPr="008F6C41">
        <w:t xml:space="preserve">13.04 </w:t>
      </w:r>
      <w:r w:rsidR="00293112" w:rsidRPr="008F6C41">
        <w:t xml:space="preserve">M17 </w:t>
      </w:r>
      <w:r w:rsidR="007461B4" w:rsidRPr="008F6C41">
        <w:t>Renaming Office Hours to Student Support Hours</w:t>
      </w:r>
      <w:bookmarkEnd w:id="13"/>
    </w:p>
    <w:p w14:paraId="2428D95E" w14:textId="77777777" w:rsidR="007461B4" w:rsidRPr="008F6C41" w:rsidRDefault="007461B4" w:rsidP="007461B4"/>
    <w:p w14:paraId="4E27B939" w14:textId="7CD537EC" w:rsidR="007461B4" w:rsidRPr="008F6C41" w:rsidRDefault="007461B4" w:rsidP="007461B4">
      <w:r w:rsidRPr="008F6C41">
        <w:t>Whereas</w:t>
      </w:r>
      <w:r w:rsidR="00F233E3" w:rsidRPr="008F6C41">
        <w:t>,</w:t>
      </w:r>
      <w:r w:rsidRPr="008F6C41">
        <w:t xml:space="preserve"> Student success increases with direct interaction with instructo</w:t>
      </w:r>
      <w:r w:rsidR="00F233E3" w:rsidRPr="008F6C41">
        <w:t>rs beyond the classroom setting;</w:t>
      </w:r>
    </w:p>
    <w:p w14:paraId="64F9A3E2" w14:textId="77777777" w:rsidR="007461B4" w:rsidRPr="008F6C41" w:rsidRDefault="007461B4" w:rsidP="007461B4"/>
    <w:p w14:paraId="58110FAF" w14:textId="5E49B750" w:rsidR="007461B4" w:rsidRPr="008F6C41" w:rsidRDefault="007461B4" w:rsidP="007461B4">
      <w:r w:rsidRPr="008F6C41">
        <w:t>Whereas</w:t>
      </w:r>
      <w:r w:rsidR="00FF31E5">
        <w:t>,</w:t>
      </w:r>
      <w:r w:rsidRPr="008F6C41">
        <w:t xml:space="preserve"> the current use of the term “office hours” may hold various negative and misleading connotations for various and often</w:t>
      </w:r>
      <w:r w:rsidR="007A6774">
        <w:t>,</w:t>
      </w:r>
      <w:r w:rsidR="00FF31E5">
        <w:t xml:space="preserve"> vulnerable student populations, such as</w:t>
      </w:r>
      <w:r w:rsidRPr="008F6C41">
        <w:t xml:space="preserve"> military personnel </w:t>
      </w:r>
      <w:r w:rsidR="007D7A54">
        <w:t xml:space="preserve">who </w:t>
      </w:r>
      <w:r w:rsidRPr="008F6C41">
        <w:t>often equate “Office Hours” with Artic</w:t>
      </w:r>
      <w:r w:rsidR="007D7A54">
        <w:t>le 15 (Non-Judicial Punishment);</w:t>
      </w:r>
      <w:r w:rsidR="007A6774">
        <w:t xml:space="preserve"> and</w:t>
      </w:r>
    </w:p>
    <w:p w14:paraId="21938CB6" w14:textId="77777777" w:rsidR="007461B4" w:rsidRPr="008F6C41" w:rsidRDefault="007461B4" w:rsidP="007461B4"/>
    <w:p w14:paraId="3489D751" w14:textId="61463AC6" w:rsidR="007461B4" w:rsidRPr="008F6C41" w:rsidRDefault="007461B4" w:rsidP="007461B4">
      <w:r w:rsidRPr="008F6C41">
        <w:t>Whereas</w:t>
      </w:r>
      <w:r w:rsidR="008F6C41" w:rsidRPr="008F6C41">
        <w:t>, T</w:t>
      </w:r>
      <w:r w:rsidR="007A6774">
        <w:t>he intent of</w:t>
      </w:r>
      <w:r w:rsidRPr="008F6C41">
        <w:t xml:space="preserve"> individual one-on-one meetings are to encourage students to seek su</w:t>
      </w:r>
      <w:r w:rsidR="007A6774">
        <w:t>pport for academic relationship;</w:t>
      </w:r>
    </w:p>
    <w:p w14:paraId="271616EB" w14:textId="77777777" w:rsidR="007461B4" w:rsidRPr="008F6C41" w:rsidRDefault="007461B4" w:rsidP="007461B4"/>
    <w:p w14:paraId="1579FCB5" w14:textId="6FEDA20A" w:rsidR="007461B4" w:rsidRPr="008F6C41" w:rsidRDefault="007461B4" w:rsidP="007461B4">
      <w:r w:rsidRPr="008F6C41">
        <w:t>Resolved</w:t>
      </w:r>
      <w:r w:rsidR="008F6C41" w:rsidRPr="008F6C41">
        <w:t>, T</w:t>
      </w:r>
      <w:r w:rsidR="000D701A">
        <w:t>hat the Academic Senate for California Community Colleges encourage</w:t>
      </w:r>
      <w:r w:rsidRPr="008F6C41">
        <w:t xml:space="preserve"> local senates to initiate conversations to discuss the potential impact of the label “office hours”</w:t>
      </w:r>
      <w:r w:rsidR="008F6C41" w:rsidRPr="008F6C41">
        <w:t>;</w:t>
      </w:r>
      <w:r w:rsidRPr="008F6C41">
        <w:t xml:space="preserve"> </w:t>
      </w:r>
    </w:p>
    <w:p w14:paraId="03E05C3D" w14:textId="77777777" w:rsidR="007461B4" w:rsidRPr="008F6C41" w:rsidRDefault="007461B4" w:rsidP="007461B4"/>
    <w:p w14:paraId="513F3147" w14:textId="36174B07" w:rsidR="007461B4" w:rsidRPr="008F6C41" w:rsidRDefault="007461B4" w:rsidP="007461B4">
      <w:r w:rsidRPr="008F6C41">
        <w:t>Resolved</w:t>
      </w:r>
      <w:r w:rsidR="008F6C41" w:rsidRPr="008F6C41">
        <w:t>, T</w:t>
      </w:r>
      <w:r w:rsidRPr="008F6C41">
        <w:t xml:space="preserve">hat </w:t>
      </w:r>
      <w:r w:rsidR="000D701A">
        <w:t>the Academic Senate for California Community Colleges</w:t>
      </w:r>
      <w:r w:rsidRPr="008F6C41">
        <w:t xml:space="preserve"> conduct a system-wide survey of how the term “office hours” ar</w:t>
      </w:r>
      <w:r w:rsidR="008F6C41" w:rsidRPr="008F6C41">
        <w:t>e addressed across the colleges;</w:t>
      </w:r>
      <w:r w:rsidRPr="008F6C41">
        <w:t xml:space="preserve"> </w:t>
      </w:r>
      <w:r w:rsidR="000D701A">
        <w:t xml:space="preserve">and </w:t>
      </w:r>
    </w:p>
    <w:p w14:paraId="00525593" w14:textId="77777777" w:rsidR="007461B4" w:rsidRPr="008F6C41" w:rsidRDefault="007461B4" w:rsidP="007461B4"/>
    <w:p w14:paraId="71A9A7A4" w14:textId="0D50AE62" w:rsidR="007461B4" w:rsidRPr="008F6C41" w:rsidRDefault="007461B4" w:rsidP="007461B4">
      <w:r w:rsidRPr="008F6C41">
        <w:t>Resolved</w:t>
      </w:r>
      <w:r w:rsidR="008F6C41" w:rsidRPr="008F6C41">
        <w:t>, T</w:t>
      </w:r>
      <w:r w:rsidRPr="008F6C41">
        <w:t xml:space="preserve">hat </w:t>
      </w:r>
      <w:r w:rsidR="000D701A">
        <w:t>the Academic Senate for California Community Colleges support</w:t>
      </w:r>
      <w:r w:rsidRPr="008F6C41">
        <w:t xml:space="preserve"> the renaming of “Office Ho</w:t>
      </w:r>
      <w:r w:rsidR="000D701A">
        <w:t>urs” to “Student Support Hours”.</w:t>
      </w:r>
    </w:p>
    <w:p w14:paraId="311AD26E" w14:textId="77777777" w:rsidR="007D7A54" w:rsidRDefault="007D7A54" w:rsidP="007461B4"/>
    <w:p w14:paraId="1F230CD5" w14:textId="77777777" w:rsidR="007461B4" w:rsidRPr="008F6C41" w:rsidRDefault="007461B4" w:rsidP="007461B4">
      <w:r w:rsidRPr="008F6C41">
        <w:t>Contact: Jason Edington, Mendocino College</w:t>
      </w:r>
    </w:p>
    <w:p w14:paraId="426134A1" w14:textId="77777777" w:rsidR="007461B4" w:rsidRPr="008F6C41" w:rsidRDefault="007461B4" w:rsidP="00CC6635"/>
    <w:p w14:paraId="01D39FF0" w14:textId="0BD96CEE" w:rsidR="00072BD0" w:rsidRPr="008F6C41" w:rsidRDefault="00072BD0" w:rsidP="00103979">
      <w:pPr>
        <w:pStyle w:val="Heading1"/>
      </w:pPr>
      <w:bookmarkStart w:id="14" w:name="_Toc359180153"/>
      <w:r w:rsidRPr="008F6C41">
        <w:t>15.0 Intersegmental Issues</w:t>
      </w:r>
      <w:bookmarkEnd w:id="14"/>
    </w:p>
    <w:p w14:paraId="3F3C4696" w14:textId="77777777" w:rsidR="00072BD0" w:rsidRPr="008F6C41" w:rsidRDefault="00072BD0" w:rsidP="0086116E"/>
    <w:p w14:paraId="5FC83DB3" w14:textId="7CC093BF" w:rsidR="00C06B9A" w:rsidRPr="008F6C41" w:rsidRDefault="00DC06C6" w:rsidP="00BA1BE1">
      <w:pPr>
        <w:pStyle w:val="Heading2"/>
      </w:pPr>
      <w:bookmarkStart w:id="15" w:name="_Toc359180154"/>
      <w:r>
        <w:t>*</w:t>
      </w:r>
      <w:r w:rsidR="00072BD0" w:rsidRPr="008F6C41">
        <w:t>15.01 M17 Inclusion of Studio and Performing Art C</w:t>
      </w:r>
      <w:r w:rsidR="00C06B9A" w:rsidRPr="008F6C41">
        <w:t>ourses in General Education for CSU and UC</w:t>
      </w:r>
      <w:bookmarkEnd w:id="15"/>
    </w:p>
    <w:p w14:paraId="1FF3DF62" w14:textId="77777777" w:rsidR="00C06B9A" w:rsidRPr="008F6C41" w:rsidRDefault="00C06B9A" w:rsidP="0086116E"/>
    <w:p w14:paraId="69CD86E5" w14:textId="3D7C81DF" w:rsidR="00C06B9A" w:rsidRPr="008F6C41" w:rsidRDefault="00D81458" w:rsidP="0086116E">
      <w:r>
        <w:t>Whereas, S</w:t>
      </w:r>
      <w:r w:rsidR="00C06B9A" w:rsidRPr="008F6C41">
        <w:t xml:space="preserve">tudio and performing art courses were previously included in the </w:t>
      </w:r>
      <w:r w:rsidR="00887F53" w:rsidRPr="008F6C41">
        <w:t xml:space="preserve">for California State University </w:t>
      </w:r>
      <w:r w:rsidR="00C06B9A" w:rsidRPr="008F6C41">
        <w:t>G</w:t>
      </w:r>
      <w:r>
        <w:t xml:space="preserve">eneral </w:t>
      </w:r>
      <w:r w:rsidR="00C06B9A" w:rsidRPr="008F6C41">
        <w:t>E</w:t>
      </w:r>
      <w:r>
        <w:t>ducation</w:t>
      </w:r>
      <w:r w:rsidR="00887F53">
        <w:t xml:space="preserve"> (CSU GE)</w:t>
      </w:r>
      <w:r>
        <w:t xml:space="preserve"> Breadth</w:t>
      </w:r>
      <w:r w:rsidR="00887F53">
        <w:t xml:space="preserve"> </w:t>
      </w:r>
      <w:r w:rsidR="00C06B9A" w:rsidRPr="008F6C41">
        <w:t>and the Intersegmental General Education Transfer Curriculum (IGETC)</w:t>
      </w:r>
      <w:r w:rsidR="00887F53">
        <w:t xml:space="preserve"> </w:t>
      </w:r>
      <w:r w:rsidR="00887F53" w:rsidRPr="008F6C41">
        <w:t>requirement</w:t>
      </w:r>
      <w:r w:rsidR="00887F53">
        <w:t>s; and</w:t>
      </w:r>
    </w:p>
    <w:p w14:paraId="0CBCE64C" w14:textId="77777777" w:rsidR="00C06B9A" w:rsidRPr="008F6C41" w:rsidRDefault="00C06B9A" w:rsidP="0086116E"/>
    <w:p w14:paraId="45DBA2B0" w14:textId="7E3B2161" w:rsidR="00C06B9A" w:rsidRPr="008F6C41" w:rsidRDefault="00887F53" w:rsidP="0086116E">
      <w:r>
        <w:t>Whereas, T</w:t>
      </w:r>
      <w:r w:rsidR="00C06B9A" w:rsidRPr="008F6C41">
        <w:t>he studio and performing art courses are pivotal for the personal development and confidence of students’ success</w:t>
      </w:r>
      <w:r>
        <w:t>;</w:t>
      </w:r>
    </w:p>
    <w:p w14:paraId="15FD12CE" w14:textId="77777777" w:rsidR="00C06B9A" w:rsidRPr="008F6C41" w:rsidRDefault="00C06B9A" w:rsidP="0086116E">
      <w:r w:rsidRPr="008F6C41">
        <w:t xml:space="preserve"> </w:t>
      </w:r>
    </w:p>
    <w:p w14:paraId="28C72CA6" w14:textId="51F0C850" w:rsidR="00C06B9A" w:rsidRPr="008F6C41" w:rsidRDefault="00887F53" w:rsidP="0086116E">
      <w:r>
        <w:t>Resolved, T</w:t>
      </w:r>
      <w:r w:rsidR="00C06B9A" w:rsidRPr="008F6C41">
        <w:t xml:space="preserve">hat </w:t>
      </w:r>
      <w:r>
        <w:t>the Academic Senate for California Community Colleges</w:t>
      </w:r>
      <w:r w:rsidR="00C06B9A" w:rsidRPr="008F6C41">
        <w:t xml:space="preserve"> work with Intersegmental Committee of Academic Senate</w:t>
      </w:r>
      <w:r>
        <w:t>s</w:t>
      </w:r>
      <w:r w:rsidR="00C06B9A" w:rsidRPr="008F6C41">
        <w:t xml:space="preserve"> to include studio and performing art courses to </w:t>
      </w:r>
      <w:r>
        <w:t xml:space="preserve">be </w:t>
      </w:r>
      <w:r w:rsidR="00C06B9A" w:rsidRPr="008F6C41">
        <w:t xml:space="preserve">included in the </w:t>
      </w:r>
      <w:r>
        <w:t xml:space="preserve">CSU </w:t>
      </w:r>
      <w:r w:rsidR="00C06B9A" w:rsidRPr="008F6C41">
        <w:t>GE brea</w:t>
      </w:r>
      <w:r>
        <w:t>d</w:t>
      </w:r>
      <w:r w:rsidR="00C06B9A" w:rsidRPr="008F6C41">
        <w:t>th and IGETC</w:t>
      </w:r>
      <w:r>
        <w:t xml:space="preserve"> requirements</w:t>
      </w:r>
      <w:r w:rsidR="00C06B9A" w:rsidRPr="008F6C41">
        <w:t>.</w:t>
      </w:r>
    </w:p>
    <w:p w14:paraId="7C089E8A" w14:textId="77777777" w:rsidR="00C06B9A" w:rsidRPr="008F6C41" w:rsidRDefault="00C06B9A" w:rsidP="0086116E"/>
    <w:p w14:paraId="6A128C24" w14:textId="678207AD" w:rsidR="00C06B9A" w:rsidRPr="008F6C41" w:rsidRDefault="00072BD0" w:rsidP="0086116E">
      <w:r w:rsidRPr="008F6C41">
        <w:t xml:space="preserve">Contact: Laura Alarcon, </w:t>
      </w:r>
      <w:r w:rsidR="00C06B9A" w:rsidRPr="008F6C41">
        <w:t>Chabot Community College</w:t>
      </w:r>
    </w:p>
    <w:p w14:paraId="649743C0" w14:textId="77777777" w:rsidR="00C06B9A" w:rsidRPr="008F6C41" w:rsidRDefault="00C06B9A" w:rsidP="0086116E"/>
    <w:p w14:paraId="70BF1FCB" w14:textId="77777777" w:rsidR="00FE0A0F" w:rsidRDefault="00FE0A0F">
      <w:pPr>
        <w:rPr>
          <w:b/>
          <w:bCs/>
          <w:caps/>
        </w:rPr>
      </w:pPr>
      <w:bookmarkStart w:id="16" w:name="_Toc359180155"/>
      <w:r>
        <w:br w:type="page"/>
      </w:r>
    </w:p>
    <w:p w14:paraId="175F11EC" w14:textId="18C5A106" w:rsidR="00072BD0" w:rsidRPr="008F6C41" w:rsidRDefault="00072BD0" w:rsidP="00103979">
      <w:pPr>
        <w:pStyle w:val="Heading1"/>
      </w:pPr>
      <w:bookmarkStart w:id="17" w:name="_GoBack"/>
      <w:bookmarkEnd w:id="17"/>
      <w:r w:rsidRPr="008F6C41">
        <w:t>17.0 Local Senates</w:t>
      </w:r>
      <w:bookmarkEnd w:id="16"/>
    </w:p>
    <w:p w14:paraId="135018B3" w14:textId="02F10F49" w:rsidR="00C06B9A" w:rsidRPr="008F6C41" w:rsidRDefault="00DC06C6" w:rsidP="00BA1BE1">
      <w:pPr>
        <w:pStyle w:val="Heading2"/>
      </w:pPr>
      <w:bookmarkStart w:id="18" w:name="_Toc359180156"/>
      <w:r>
        <w:t>*</w:t>
      </w:r>
      <w:r w:rsidR="00072BD0" w:rsidRPr="008F6C41">
        <w:t xml:space="preserve">17.01 M17 </w:t>
      </w:r>
      <w:r w:rsidR="00C06B9A" w:rsidRPr="008F6C41">
        <w:t>Believe in the Power of Dance</w:t>
      </w:r>
      <w:bookmarkEnd w:id="18"/>
    </w:p>
    <w:p w14:paraId="02D055A9" w14:textId="77777777" w:rsidR="00C06B9A" w:rsidRPr="008F6C41" w:rsidRDefault="00C06B9A" w:rsidP="0086116E"/>
    <w:p w14:paraId="0D72E494" w14:textId="3A1F795D" w:rsidR="00C06B9A" w:rsidRPr="008F6C41" w:rsidRDefault="004B07D7" w:rsidP="0086116E">
      <w:r>
        <w:t>Whereas, R</w:t>
      </w:r>
      <w:r w:rsidR="00C06B9A" w:rsidRPr="008F6C41">
        <w:t>esearch shows that people who enjoy themselves have a tendency to get along better with each other</w:t>
      </w:r>
      <w:r w:rsidR="00C06B9A" w:rsidRPr="004B07D7">
        <w:rPr>
          <w:vertAlign w:val="superscript"/>
        </w:rPr>
        <w:footnoteReference w:id="1"/>
      </w:r>
      <w:r w:rsidR="00C06B9A" w:rsidRPr="008F6C41">
        <w:t>;</w:t>
      </w:r>
    </w:p>
    <w:p w14:paraId="0BB7AD61" w14:textId="77777777" w:rsidR="00C06B9A" w:rsidRPr="008F6C41" w:rsidRDefault="00C06B9A" w:rsidP="0086116E"/>
    <w:p w14:paraId="208321C8" w14:textId="647FC093" w:rsidR="00C06B9A" w:rsidRPr="008F6C41" w:rsidRDefault="00C06B9A" w:rsidP="0086116E">
      <w:r w:rsidRPr="008F6C41">
        <w:t>Whereas, research shows that people who dance to good music oftentimes enjoy themselves</w:t>
      </w:r>
      <w:r w:rsidRPr="004B07D7">
        <w:rPr>
          <w:vertAlign w:val="superscript"/>
        </w:rPr>
        <w:footnoteReference w:id="2"/>
      </w:r>
      <w:r w:rsidRPr="008F6C41">
        <w:t>;</w:t>
      </w:r>
      <w:r w:rsidR="004B07D7">
        <w:t xml:space="preserve"> and</w:t>
      </w:r>
    </w:p>
    <w:p w14:paraId="61B3AA54" w14:textId="77777777" w:rsidR="00C06B9A" w:rsidRPr="008F6C41" w:rsidRDefault="00C06B9A" w:rsidP="0086116E"/>
    <w:p w14:paraId="449A4CF4" w14:textId="572B5D2A" w:rsidR="00C06B9A" w:rsidRPr="008F6C41" w:rsidRDefault="004B07D7" w:rsidP="0086116E">
      <w:r>
        <w:t>Whereas, M</w:t>
      </w:r>
      <w:r w:rsidR="00C06B9A" w:rsidRPr="008F6C41">
        <w:t>ost faculty are people;</w:t>
      </w:r>
    </w:p>
    <w:p w14:paraId="6E8710D1" w14:textId="77777777" w:rsidR="00C06B9A" w:rsidRPr="008F6C41" w:rsidRDefault="00C06B9A" w:rsidP="0086116E"/>
    <w:p w14:paraId="4E9D1C82" w14:textId="1DD691F5" w:rsidR="00C06B9A" w:rsidRPr="008F6C41" w:rsidRDefault="004B07D7" w:rsidP="0086116E">
      <w:r>
        <w:t>Resolved, T</w:t>
      </w:r>
      <w:r w:rsidR="00C06B9A" w:rsidRPr="008F6C41">
        <w:t>hat the Academic Senate for California Community Colleges encourage that every college designate a day each semester dedicated solely to dancing;</w:t>
      </w:r>
    </w:p>
    <w:p w14:paraId="7C5B875B" w14:textId="77777777" w:rsidR="00C06B9A" w:rsidRPr="008F6C41" w:rsidRDefault="00C06B9A" w:rsidP="0086116E"/>
    <w:p w14:paraId="5E64AFFC" w14:textId="400A7554" w:rsidR="00C06B9A" w:rsidRPr="008F6C41" w:rsidRDefault="004B07D7" w:rsidP="0086116E">
      <w:r>
        <w:t>Resolved, T</w:t>
      </w:r>
      <w:r w:rsidR="00C06B9A" w:rsidRPr="008F6C41">
        <w:t>hat</w:t>
      </w:r>
      <w:r>
        <w:t xml:space="preserve"> the </w:t>
      </w:r>
      <w:r w:rsidRPr="008F6C41">
        <w:t>Academic Senate for California Community Colleges</w:t>
      </w:r>
      <w:r w:rsidR="00C06B9A" w:rsidRPr="008F6C41">
        <w:t xml:space="preserve"> </w:t>
      </w:r>
      <w:r>
        <w:t xml:space="preserve">urge </w:t>
      </w:r>
      <w:r w:rsidR="00C06B9A" w:rsidRPr="008F6C41">
        <w:t>every college host a massive dance party on the day dedicated solely to dancing;</w:t>
      </w:r>
      <w:r w:rsidR="002516A9">
        <w:t xml:space="preserve"> </w:t>
      </w:r>
    </w:p>
    <w:p w14:paraId="57C02F30" w14:textId="77777777" w:rsidR="00C06B9A" w:rsidRPr="008F6C41" w:rsidRDefault="00C06B9A" w:rsidP="0086116E"/>
    <w:p w14:paraId="02DF19B6" w14:textId="6C43F3D3" w:rsidR="00C06B9A" w:rsidRPr="008F6C41" w:rsidRDefault="004B07D7" w:rsidP="0086116E">
      <w:r>
        <w:t>Resolved, T</w:t>
      </w:r>
      <w:r w:rsidR="00C06B9A" w:rsidRPr="008F6C41">
        <w:t>hat</w:t>
      </w:r>
      <w:r>
        <w:t xml:space="preserve"> the </w:t>
      </w:r>
      <w:r w:rsidRPr="008F6C41">
        <w:t>Academic Senate for California Community Colleges</w:t>
      </w:r>
      <w:r w:rsidR="00C06B9A" w:rsidRPr="008F6C41">
        <w:t xml:space="preserve"> </w:t>
      </w:r>
      <w:r>
        <w:t xml:space="preserve">recommend that </w:t>
      </w:r>
      <w:r w:rsidR="00C06B9A" w:rsidRPr="008F6C41">
        <w:t>every college release faculty from all obligations for the day of and the day after the massive dance party;</w:t>
      </w:r>
      <w:r w:rsidR="002516A9">
        <w:t xml:space="preserve"> and</w:t>
      </w:r>
    </w:p>
    <w:p w14:paraId="43EA035B" w14:textId="77777777" w:rsidR="00C06B9A" w:rsidRPr="008F6C41" w:rsidRDefault="00C06B9A" w:rsidP="0086116E"/>
    <w:p w14:paraId="038F824C" w14:textId="7CD62A5D" w:rsidR="00C06B9A" w:rsidRPr="008F6C41" w:rsidRDefault="002516A9" w:rsidP="0086116E">
      <w:r>
        <w:t>Resolved, T</w:t>
      </w:r>
      <w:r w:rsidR="00C06B9A" w:rsidRPr="008F6C41">
        <w:t>hat</w:t>
      </w:r>
      <w:r>
        <w:t xml:space="preserve"> the </w:t>
      </w:r>
      <w:r w:rsidRPr="008F6C41">
        <w:t>Academic Senate for California Community Colleges</w:t>
      </w:r>
      <w:r>
        <w:t xml:space="preserve"> request that</w:t>
      </w:r>
      <w:r w:rsidR="00C06B9A" w:rsidRPr="008F6C41">
        <w:t xml:space="preserve"> all dance parties must include music by Cher. </w:t>
      </w:r>
    </w:p>
    <w:p w14:paraId="3386459F" w14:textId="77777777" w:rsidR="00C06B9A" w:rsidRPr="008F6C41" w:rsidRDefault="00C06B9A" w:rsidP="0086116E"/>
    <w:p w14:paraId="4129BE73" w14:textId="1B8DF0AB" w:rsidR="00C06B9A" w:rsidRPr="008F6C41" w:rsidRDefault="00AE080B" w:rsidP="0086116E">
      <w:r w:rsidRPr="008F6C41">
        <w:t xml:space="preserve">Contact: Steve </w:t>
      </w:r>
      <w:proofErr w:type="spellStart"/>
      <w:r w:rsidRPr="008F6C41">
        <w:t>Cirrone</w:t>
      </w:r>
      <w:proofErr w:type="spellEnd"/>
      <w:r w:rsidRPr="008F6C41">
        <w:t>, Sacramento City College</w:t>
      </w:r>
    </w:p>
    <w:p w14:paraId="52250B6C" w14:textId="77777777" w:rsidR="00293112" w:rsidRPr="008F6C41" w:rsidRDefault="00293112" w:rsidP="0086116E"/>
    <w:p w14:paraId="3FC0FE9C" w14:textId="74E41D23" w:rsidR="000F7107" w:rsidRPr="008F6C41" w:rsidRDefault="00DC06C6" w:rsidP="00BA1BE1">
      <w:pPr>
        <w:pStyle w:val="Heading2"/>
      </w:pPr>
      <w:bookmarkStart w:id="19" w:name="_Toc359180157"/>
      <w:r>
        <w:t>*</w:t>
      </w:r>
      <w:r w:rsidR="00293112" w:rsidRPr="008F6C41">
        <w:t xml:space="preserve">17.02 M17 </w:t>
      </w:r>
      <w:r w:rsidR="000F7107" w:rsidRPr="008F6C41">
        <w:t>Naptime Spaces</w:t>
      </w:r>
      <w:bookmarkEnd w:id="19"/>
    </w:p>
    <w:p w14:paraId="4AACEF73" w14:textId="77777777" w:rsidR="00DC06C6" w:rsidRDefault="00DC06C6" w:rsidP="00293112"/>
    <w:p w14:paraId="69F46DB4" w14:textId="46F372BF" w:rsidR="000F7107" w:rsidRPr="008F6C41" w:rsidRDefault="001D616C" w:rsidP="00293112">
      <w:r>
        <w:t>Whereas, I</w:t>
      </w:r>
      <w:r w:rsidR="000F7107" w:rsidRPr="008F6C41">
        <w:t xml:space="preserve">t is well known (studies sited below) that </w:t>
      </w:r>
      <w:r>
        <w:t>naps during the workday improve</w:t>
      </w:r>
      <w:r w:rsidR="000F7107" w:rsidRPr="008F6C41">
        <w:t xml:space="preserve"> performance, stamina</w:t>
      </w:r>
      <w:r>
        <w:t>, and mood of faculty and staff;</w:t>
      </w:r>
    </w:p>
    <w:p w14:paraId="57BE40A0" w14:textId="77777777" w:rsidR="00293112" w:rsidRPr="008F6C41" w:rsidRDefault="00293112" w:rsidP="00293112"/>
    <w:p w14:paraId="612173B9" w14:textId="132E1B0E" w:rsidR="000F7107" w:rsidRPr="008F6C41" w:rsidRDefault="001D616C" w:rsidP="00293112">
      <w:r>
        <w:t>Whereas, I</w:t>
      </w:r>
      <w:r w:rsidR="000F7107" w:rsidRPr="008F6C41">
        <w:t>t has been shown to improve student retention and understanding of in</w:t>
      </w:r>
      <w:r>
        <w:t>formation from lecture and labs;</w:t>
      </w:r>
      <w:r w:rsidR="000F7107" w:rsidRPr="008F6C41">
        <w:t xml:space="preserve"> </w:t>
      </w:r>
    </w:p>
    <w:p w14:paraId="38C2263F" w14:textId="77777777" w:rsidR="00293112" w:rsidRPr="008F6C41" w:rsidRDefault="00293112" w:rsidP="00293112"/>
    <w:p w14:paraId="5B61582C" w14:textId="7BE58C1F" w:rsidR="000F7107" w:rsidRPr="008F6C41" w:rsidRDefault="000F7107" w:rsidP="00293112">
      <w:r w:rsidRPr="008F6C41">
        <w:t>Resolved, That the Academic Senate for Californ</w:t>
      </w:r>
      <w:r w:rsidR="004771E4">
        <w:t>ia Community Colleges recommend</w:t>
      </w:r>
      <w:r w:rsidRPr="008F6C41">
        <w:t xml:space="preserve"> that local Academic Senates work with their Board of Trustees to designate a safe space on their campuses for students, faculty, and staff to engage in naptime, quiet time, or quiet meditation activities.</w:t>
      </w:r>
    </w:p>
    <w:p w14:paraId="0B421CDA" w14:textId="77777777" w:rsidR="00293112" w:rsidRPr="008F6C41" w:rsidRDefault="00293112" w:rsidP="00293112"/>
    <w:p w14:paraId="40807344" w14:textId="77777777" w:rsidR="000F7107" w:rsidRPr="008F6C41" w:rsidRDefault="000F7107" w:rsidP="00293112">
      <w:r w:rsidRPr="008F6C41">
        <w:t>Nap Studies:</w:t>
      </w:r>
    </w:p>
    <w:p w14:paraId="1AD2C508" w14:textId="77777777" w:rsidR="000F7107" w:rsidRPr="008F6C41" w:rsidRDefault="000F7107" w:rsidP="00293112">
      <w:r w:rsidRPr="008F6C41">
        <w:t>The National Institute of Mental Health Power Nap Study. 2002-07-01.</w:t>
      </w:r>
    </w:p>
    <w:p w14:paraId="22DD88C4" w14:textId="77777777" w:rsidR="000F7107" w:rsidRPr="008F6C41" w:rsidRDefault="000F7107" w:rsidP="00293112">
      <w:r w:rsidRPr="008F6C41">
        <w:t xml:space="preserve">The restorative effect of naps on perceptual deterioration, SC </w:t>
      </w:r>
      <w:proofErr w:type="spellStart"/>
      <w:r w:rsidRPr="008F6C41">
        <w:t>Mednick</w:t>
      </w:r>
      <w:proofErr w:type="spellEnd"/>
      <w:r w:rsidRPr="008F6C41">
        <w:t xml:space="preserve">, K Nakayama, JL </w:t>
      </w:r>
      <w:proofErr w:type="spellStart"/>
      <w:r w:rsidRPr="008F6C41">
        <w:t>Cantero</w:t>
      </w:r>
      <w:proofErr w:type="spellEnd"/>
      <w:r w:rsidRPr="008F6C41">
        <w:t>, M Atienza, AA Levin, N Pathak, … Nature neuroscience 5 (7), 677-681, 2002</w:t>
      </w:r>
    </w:p>
    <w:p w14:paraId="27D49E46" w14:textId="77777777" w:rsidR="000F7107" w:rsidRPr="008F6C41" w:rsidRDefault="000F7107" w:rsidP="00293112">
      <w:r w:rsidRPr="008F6C41">
        <w:t xml:space="preserve">Take a Nap! Change Your Life: The Scientific Plan to Make You Smarter, Healthier, More Productive, SC </w:t>
      </w:r>
      <w:proofErr w:type="spellStart"/>
      <w:r w:rsidRPr="008F6C41">
        <w:t>Mednick</w:t>
      </w:r>
      <w:proofErr w:type="spellEnd"/>
      <w:r w:rsidRPr="008F6C41">
        <w:t xml:space="preserve">, M </w:t>
      </w:r>
      <w:proofErr w:type="spellStart"/>
      <w:r w:rsidRPr="008F6C41">
        <w:t>Ehrman</w:t>
      </w:r>
      <w:proofErr w:type="spellEnd"/>
      <w:r w:rsidRPr="008F6C41">
        <w:t>, Chicago: Workman Publishing Company, 2006</w:t>
      </w:r>
    </w:p>
    <w:p w14:paraId="7E1D0E4A" w14:textId="77777777" w:rsidR="00C06B9A" w:rsidRPr="008F6C41" w:rsidRDefault="00C06B9A" w:rsidP="0086116E"/>
    <w:p w14:paraId="5E8C0AD9" w14:textId="6E3EBBB4" w:rsidR="002D3110" w:rsidRPr="008F6C41" w:rsidRDefault="00DC06C6" w:rsidP="00BA1BE1">
      <w:pPr>
        <w:pStyle w:val="Heading2"/>
      </w:pPr>
      <w:bookmarkStart w:id="20" w:name="_Toc359180158"/>
      <w:r>
        <w:t>*</w:t>
      </w:r>
      <w:r w:rsidR="002D3110" w:rsidRPr="008F6C41">
        <w:t>17.03 M17 Develop a Paper on Effective Practices of Academic Senate Participation in Academic Administrator Hiring Processes</w:t>
      </w:r>
      <w:bookmarkEnd w:id="20"/>
    </w:p>
    <w:p w14:paraId="3D891979" w14:textId="77777777" w:rsidR="002D3110" w:rsidRPr="008F6C41" w:rsidRDefault="002D3110" w:rsidP="002D3110"/>
    <w:p w14:paraId="4FA30D59" w14:textId="77777777" w:rsidR="002D3110" w:rsidRPr="008F6C41" w:rsidRDefault="002D3110" w:rsidP="002D3110">
      <w:r w:rsidRPr="008F6C41">
        <w:t>Whereas, Academic administrators take part in the development of education programs, which is under the purview of the Academic Senate;</w:t>
      </w:r>
    </w:p>
    <w:p w14:paraId="3D43F9BB" w14:textId="77777777" w:rsidR="002D3110" w:rsidRPr="008F6C41" w:rsidRDefault="002D3110" w:rsidP="002D3110"/>
    <w:p w14:paraId="73D05213" w14:textId="6C89A0CD" w:rsidR="002D3110" w:rsidRPr="008F6C41" w:rsidRDefault="002D3110" w:rsidP="002D3110">
      <w:r w:rsidRPr="008F6C41">
        <w:t>Whereas, At some colleges</w:t>
      </w:r>
      <w:r w:rsidR="003D4414">
        <w:t>,</w:t>
      </w:r>
      <w:r w:rsidRPr="008F6C41">
        <w:t xml:space="preserve"> decisions to hire academic administrators are han</w:t>
      </w:r>
      <w:r w:rsidR="003D4414">
        <w:t>dled by processes that include academic senate participation given that the academic s</w:t>
      </w:r>
      <w:r w:rsidRPr="008F6C41">
        <w:t>enate makes recommendations on the processes for allocating resources and institutional planning; and</w:t>
      </w:r>
    </w:p>
    <w:p w14:paraId="19E98643" w14:textId="77777777" w:rsidR="002D3110" w:rsidRPr="008F6C41" w:rsidRDefault="002D3110" w:rsidP="002D3110"/>
    <w:p w14:paraId="2ED0666C" w14:textId="3DB690B9" w:rsidR="002D3110" w:rsidRPr="008F6C41" w:rsidRDefault="002D3110" w:rsidP="002D3110">
      <w:r w:rsidRPr="008F6C41">
        <w:t>Whereas, In spring 2012, the Academic Senate of the California Community Colleges adopted resolution 13.07</w:t>
      </w:r>
      <w:r w:rsidR="003D4414">
        <w:t>,</w:t>
      </w:r>
      <w:r w:rsidRPr="008F6C41">
        <w:t xml:space="preserve"> calling for research in effective practices in hiring academic administrators and reported these initial results at the fall 2013 plenary</w:t>
      </w:r>
      <w:r w:rsidR="003D4414">
        <w:t xml:space="preserve"> session</w:t>
      </w:r>
      <w:r w:rsidRPr="008F6C41">
        <w:t>;</w:t>
      </w:r>
    </w:p>
    <w:p w14:paraId="0BF60BEA" w14:textId="77777777" w:rsidR="002D3110" w:rsidRPr="008F6C41" w:rsidRDefault="002D3110" w:rsidP="002D3110"/>
    <w:p w14:paraId="7933B8D7" w14:textId="5CE48813" w:rsidR="002D3110" w:rsidRPr="008F6C41" w:rsidRDefault="002D3110" w:rsidP="002D3110">
      <w:r w:rsidRPr="008F6C41">
        <w:t xml:space="preserve">Resolved, that the </w:t>
      </w:r>
      <w:r w:rsidR="003D4414">
        <w:t>Aca</w:t>
      </w:r>
      <w:r w:rsidR="003D4414" w:rsidRPr="008F6C41">
        <w:t>demic Senate of the California Community Colleges</w:t>
      </w:r>
      <w:r w:rsidRPr="008F6C41">
        <w:t xml:space="preserve"> develop a p</w:t>
      </w:r>
      <w:r w:rsidR="003D4414">
        <w:t>aper on effective practices of local academic s</w:t>
      </w:r>
      <w:r w:rsidRPr="008F6C41">
        <w:t>enate participation in academic administrator hiring processes.</w:t>
      </w:r>
    </w:p>
    <w:p w14:paraId="50471015" w14:textId="77777777" w:rsidR="002D3110" w:rsidRPr="008F6C41" w:rsidRDefault="002D3110" w:rsidP="002D3110"/>
    <w:p w14:paraId="5140D8C2" w14:textId="77777777" w:rsidR="002D3110" w:rsidRDefault="002D3110" w:rsidP="002D3110">
      <w:r w:rsidRPr="008F6C41">
        <w:t>Jeffrey Hernandez, East Los Angeles College</w:t>
      </w:r>
    </w:p>
    <w:p w14:paraId="40E48784" w14:textId="77777777" w:rsidR="00065459" w:rsidRDefault="00065459" w:rsidP="002D3110"/>
    <w:p w14:paraId="30416DB9" w14:textId="77B3E033" w:rsidR="00065459" w:rsidRPr="00BA1BE1" w:rsidRDefault="00DC06C6" w:rsidP="00BA1BE1">
      <w:pPr>
        <w:pStyle w:val="Heading2"/>
      </w:pPr>
      <w:bookmarkStart w:id="21" w:name="_Toc359180159"/>
      <w:r>
        <w:t>*</w:t>
      </w:r>
      <w:r w:rsidR="00065459" w:rsidRPr="00BA1BE1">
        <w:t>17.02 M17 Equity for Lecture and Laboratory Instruction</w:t>
      </w:r>
      <w:bookmarkEnd w:id="21"/>
    </w:p>
    <w:p w14:paraId="591B266D" w14:textId="77777777" w:rsidR="00065459" w:rsidRPr="00BA1BE1" w:rsidRDefault="00065459" w:rsidP="00065459">
      <w:r w:rsidRPr="00BA1BE1">
        <w:t> </w:t>
      </w:r>
    </w:p>
    <w:p w14:paraId="019E03BC" w14:textId="5B82FDFC" w:rsidR="00065459" w:rsidRPr="00BA1BE1" w:rsidRDefault="00747681" w:rsidP="00065459">
      <w:r>
        <w:t>Whereas, U</w:t>
      </w:r>
      <w:r w:rsidR="00065459" w:rsidRPr="00BA1BE1">
        <w:t>tilizing different load weights for lecture and laboratory classes can cause laboratory faculty to feel undervalued or inferior to lecture faculty, to have less time to prepare for classes, and to have less time to participate in campus committees, and this disparity does not allow equal faculty voice in governance matters;</w:t>
      </w:r>
    </w:p>
    <w:p w14:paraId="2601F87F" w14:textId="77777777" w:rsidR="00065459" w:rsidRPr="00BA1BE1" w:rsidRDefault="00065459" w:rsidP="00065459">
      <w:r w:rsidRPr="00BA1BE1">
        <w:t> </w:t>
      </w:r>
    </w:p>
    <w:p w14:paraId="34A6F8A1" w14:textId="55092320" w:rsidR="00065459" w:rsidRPr="00BA1BE1" w:rsidRDefault="00747681" w:rsidP="00065459">
      <w:r>
        <w:t>Whereas, T</w:t>
      </w:r>
      <w:r w:rsidR="00065459" w:rsidRPr="00BA1BE1">
        <w:t>his is an academic and professional matter as lecture and laboratory faculty both must plan and implement effective instruction as well as evaluate student learning, and outside work is often expected of students regardless of whether a class is lecture or laboratory;</w:t>
      </w:r>
    </w:p>
    <w:p w14:paraId="049D0B53" w14:textId="77777777" w:rsidR="00065459" w:rsidRPr="00BA1BE1" w:rsidRDefault="00065459" w:rsidP="00065459">
      <w:r w:rsidRPr="00BA1BE1">
        <w:t> </w:t>
      </w:r>
    </w:p>
    <w:p w14:paraId="17C82E48" w14:textId="7C1C1637" w:rsidR="00065459" w:rsidRPr="00BA1BE1" w:rsidRDefault="00747681" w:rsidP="00065459">
      <w:r>
        <w:t>Whereas, C</w:t>
      </w:r>
      <w:r w:rsidR="00065459" w:rsidRPr="00BA1BE1">
        <w:t>reating an active and engaging learning environment is necessary regardless of class type or delivery, and lecture often includes lab components while lab includes lecture components;</w:t>
      </w:r>
      <w:r>
        <w:t xml:space="preserve"> and</w:t>
      </w:r>
    </w:p>
    <w:p w14:paraId="75A4480C" w14:textId="77777777" w:rsidR="00065459" w:rsidRPr="00BA1BE1" w:rsidRDefault="00065459" w:rsidP="00065459">
      <w:r w:rsidRPr="00BA1BE1">
        <w:t> </w:t>
      </w:r>
    </w:p>
    <w:p w14:paraId="3A6CEC48" w14:textId="318CC5EC" w:rsidR="00065459" w:rsidRPr="00BA1BE1" w:rsidRDefault="00747681" w:rsidP="00065459">
      <w:r>
        <w:t>Whereas, S</w:t>
      </w:r>
      <w:r w:rsidR="00065459" w:rsidRPr="00BA1BE1">
        <w:t>tate apportionment is the same regardless of whether a course is classified as lecture or laboratory;</w:t>
      </w:r>
    </w:p>
    <w:p w14:paraId="7FB16862" w14:textId="77777777" w:rsidR="00065459" w:rsidRPr="00BA1BE1" w:rsidRDefault="00065459" w:rsidP="00065459">
      <w:r w:rsidRPr="00BA1BE1">
        <w:t> </w:t>
      </w:r>
    </w:p>
    <w:p w14:paraId="53FE7CD3" w14:textId="30865AF7" w:rsidR="00065459" w:rsidRPr="00BA1BE1" w:rsidRDefault="00065459" w:rsidP="00065459">
      <w:r w:rsidRPr="00BA1BE1">
        <w:t>Resolved, that A</w:t>
      </w:r>
      <w:r w:rsidR="00747681">
        <w:t>ca</w:t>
      </w:r>
      <w:r w:rsidR="00747681" w:rsidRPr="008F6C41">
        <w:t>demic Senate of the California Community Colleges</w:t>
      </w:r>
      <w:r w:rsidRPr="00BA1BE1">
        <w:t xml:space="preserve"> encourage local senates to work with local bargaining units and administrators to establish parity between lecture and laboratory faculty loads at their local colleges</w:t>
      </w:r>
      <w:r w:rsidR="00747681">
        <w:t>.</w:t>
      </w:r>
    </w:p>
    <w:p w14:paraId="1A2FA108" w14:textId="77777777" w:rsidR="00065459" w:rsidRDefault="00065459" w:rsidP="002D3110"/>
    <w:p w14:paraId="650782FE" w14:textId="680E53FD" w:rsidR="00065459" w:rsidRPr="008F6C41" w:rsidRDefault="00065459" w:rsidP="002D3110">
      <w:r>
        <w:t xml:space="preserve">Contact: Christie </w:t>
      </w:r>
      <w:proofErr w:type="spellStart"/>
      <w:r>
        <w:t>Trolinger</w:t>
      </w:r>
      <w:proofErr w:type="spellEnd"/>
      <w:r>
        <w:t>, Butte College</w:t>
      </w:r>
    </w:p>
    <w:p w14:paraId="3FC8703B" w14:textId="77777777" w:rsidR="002D3110" w:rsidRPr="008F6C41" w:rsidRDefault="002D3110" w:rsidP="002D3110"/>
    <w:p w14:paraId="0388DD30" w14:textId="685105A9" w:rsidR="002F6FE3" w:rsidRPr="008F6C41" w:rsidRDefault="002F6FE3" w:rsidP="0086116E"/>
    <w:sectPr w:rsidR="002F6FE3" w:rsidRPr="008F6C41" w:rsidSect="003635A1">
      <w:headerReference w:type="even" r:id="rId13"/>
      <w:headerReference w:type="default" r:id="rId14"/>
      <w:footerReference w:type="even" r:id="rId15"/>
      <w:footerReference w:type="default" r:id="rId16"/>
      <w:headerReference w:type="first" r:id="rId17"/>
      <w:pgSz w:w="12240" w:h="15840"/>
      <w:pgMar w:top="738"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AB873" w14:textId="77777777" w:rsidR="00194161" w:rsidRDefault="00194161" w:rsidP="002F6FE3">
      <w:r>
        <w:separator/>
      </w:r>
    </w:p>
  </w:endnote>
  <w:endnote w:type="continuationSeparator" w:id="0">
    <w:p w14:paraId="2418389B" w14:textId="77777777" w:rsidR="00194161" w:rsidRDefault="00194161" w:rsidP="002F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E30FD" w14:textId="77777777" w:rsidR="00FE6442" w:rsidRDefault="00FE6442" w:rsidP="003635A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EB75AD" w14:textId="77777777" w:rsidR="00FE6442" w:rsidRDefault="00FE6442" w:rsidP="00FE64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7132" w14:textId="544F1647" w:rsidR="00FE6442" w:rsidRDefault="00FE6442" w:rsidP="003635A1">
    <w:pPr>
      <w:pStyle w:val="Footer"/>
      <w:framePr w:wrap="none" w:vAnchor="text" w:hAnchor="page" w:x="6022" w:y="1"/>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7B78" w14:textId="77777777" w:rsidR="004771E4" w:rsidRDefault="004771E4" w:rsidP="002F6F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D379F2" w14:textId="77777777" w:rsidR="004771E4" w:rsidRDefault="004771E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C9255" w14:textId="77777777" w:rsidR="004771E4" w:rsidRPr="00FE1E33" w:rsidRDefault="004771E4" w:rsidP="002F6FE3">
    <w:pPr>
      <w:pStyle w:val="Footer"/>
      <w:framePr w:wrap="around" w:vAnchor="text" w:hAnchor="margin" w:xAlign="center" w:y="1"/>
      <w:rPr>
        <w:rStyle w:val="PageNumber"/>
      </w:rPr>
    </w:pPr>
    <w:r w:rsidRPr="00FE1E33">
      <w:rPr>
        <w:rStyle w:val="PageNumber"/>
      </w:rPr>
      <w:fldChar w:fldCharType="begin"/>
    </w:r>
    <w:r w:rsidRPr="00FE1E33">
      <w:rPr>
        <w:rStyle w:val="PageNumber"/>
      </w:rPr>
      <w:instrText xml:space="preserve">PAGE  </w:instrText>
    </w:r>
    <w:r w:rsidRPr="00FE1E33">
      <w:rPr>
        <w:rStyle w:val="PageNumber"/>
      </w:rPr>
      <w:fldChar w:fldCharType="separate"/>
    </w:r>
    <w:r w:rsidR="00FE0A0F">
      <w:rPr>
        <w:rStyle w:val="PageNumber"/>
        <w:noProof/>
      </w:rPr>
      <w:t>8</w:t>
    </w:r>
    <w:r w:rsidRPr="00FE1E33">
      <w:rPr>
        <w:rStyle w:val="PageNumber"/>
      </w:rPr>
      <w:fldChar w:fldCharType="end"/>
    </w:r>
  </w:p>
  <w:p w14:paraId="0D86AD63" w14:textId="77777777" w:rsidR="004771E4" w:rsidRDefault="004771E4">
    <w:pPr>
      <w:pStyle w:val="Footer"/>
      <w:jc w:val="center"/>
    </w:pPr>
  </w:p>
  <w:p w14:paraId="02B665BE" w14:textId="77777777" w:rsidR="004771E4" w:rsidRDefault="004771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0F4F4" w14:textId="77777777" w:rsidR="00194161" w:rsidRDefault="00194161" w:rsidP="002F6FE3">
      <w:r>
        <w:separator/>
      </w:r>
    </w:p>
  </w:footnote>
  <w:footnote w:type="continuationSeparator" w:id="0">
    <w:p w14:paraId="2F2E059A" w14:textId="77777777" w:rsidR="00194161" w:rsidRDefault="00194161" w:rsidP="002F6FE3">
      <w:r>
        <w:continuationSeparator/>
      </w:r>
    </w:p>
  </w:footnote>
  <w:footnote w:id="1">
    <w:p w14:paraId="797C2BDF" w14:textId="77777777" w:rsidR="004771E4" w:rsidRPr="001D616C" w:rsidRDefault="004771E4" w:rsidP="00C06B9A">
      <w:pPr>
        <w:pStyle w:val="FootnoteText"/>
      </w:pPr>
      <w:r w:rsidRPr="001D616C">
        <w:rPr>
          <w:rStyle w:val="FootnoteReference"/>
        </w:rPr>
        <w:footnoteRef/>
      </w:r>
      <w:r w:rsidRPr="001D616C">
        <w:t xml:space="preserve"> </w:t>
      </w:r>
      <w:proofErr w:type="spellStart"/>
      <w:r w:rsidRPr="001D616C">
        <w:t>Buzzfeed</w:t>
      </w:r>
      <w:proofErr w:type="spellEnd"/>
      <w:r w:rsidRPr="001D616C">
        <w:t>. Probably.</w:t>
      </w:r>
    </w:p>
  </w:footnote>
  <w:footnote w:id="2">
    <w:p w14:paraId="2BAC1202" w14:textId="77777777" w:rsidR="004771E4" w:rsidRDefault="004771E4" w:rsidP="00C06B9A">
      <w:pPr>
        <w:pStyle w:val="FootnoteText"/>
      </w:pPr>
      <w:r w:rsidRPr="001D616C">
        <w:rPr>
          <w:rStyle w:val="FootnoteReference"/>
        </w:rPr>
        <w:footnoteRef/>
      </w:r>
      <w:r w:rsidRPr="001D616C">
        <w:t xml:space="preserve"> White Party, Palm Springs.</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9A33B" w14:textId="2BAB5A0A" w:rsidR="004771E4" w:rsidRPr="00A71731" w:rsidRDefault="004771E4" w:rsidP="003F3B57">
    <w:pPr>
      <w:tabs>
        <w:tab w:val="center" w:pos="4320"/>
        <w:tab w:val="right" w:pos="864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04489" w14:textId="77777777" w:rsidR="004771E4" w:rsidRDefault="00194161">
    <w:pPr>
      <w:pStyle w:val="Header"/>
    </w:pPr>
    <w:sdt>
      <w:sdtPr>
        <w:id w:val="1719387287"/>
        <w:temporary/>
        <w:showingPlcHdr/>
      </w:sdtPr>
      <w:sdtEndPr/>
      <w:sdtContent>
        <w:r w:rsidR="004771E4">
          <w:t>[Type text]</w:t>
        </w:r>
      </w:sdtContent>
    </w:sdt>
    <w:r w:rsidR="004771E4">
      <w:ptab w:relativeTo="margin" w:alignment="center" w:leader="none"/>
    </w:r>
    <w:sdt>
      <w:sdtPr>
        <w:id w:val="1230268410"/>
        <w:temporary/>
        <w:showingPlcHdr/>
      </w:sdtPr>
      <w:sdtEndPr/>
      <w:sdtContent>
        <w:r w:rsidR="004771E4">
          <w:t>[Type text]</w:t>
        </w:r>
      </w:sdtContent>
    </w:sdt>
    <w:r w:rsidR="004771E4">
      <w:ptab w:relativeTo="margin" w:alignment="right" w:leader="none"/>
    </w:r>
    <w:sdt>
      <w:sdtPr>
        <w:id w:val="885613195"/>
        <w:temporary/>
        <w:showingPlcHdr/>
      </w:sdtPr>
      <w:sdtEndPr/>
      <w:sdtContent>
        <w:r w:rsidR="004771E4">
          <w:t>[Type text]</w:t>
        </w:r>
      </w:sdtContent>
    </w:sdt>
  </w:p>
  <w:p w14:paraId="5F222FAF" w14:textId="77777777" w:rsidR="004771E4" w:rsidRDefault="004771E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7A24F" w14:textId="77777777" w:rsidR="004771E4" w:rsidRPr="00714762" w:rsidRDefault="004771E4" w:rsidP="002F6FE3">
    <w:pPr>
      <w:pStyle w:val="Header"/>
      <w:jc w:val="cen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77CA" w14:textId="77777777" w:rsidR="004771E4" w:rsidRPr="001F3C00" w:rsidRDefault="004771E4" w:rsidP="002F6FE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1BE6"/>
    <w:multiLevelType w:val="hybridMultilevel"/>
    <w:tmpl w:val="E502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532A9"/>
    <w:multiLevelType w:val="hybridMultilevel"/>
    <w:tmpl w:val="E342F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C7F"/>
    <w:rsid w:val="000318CF"/>
    <w:rsid w:val="00065459"/>
    <w:rsid w:val="00072BD0"/>
    <w:rsid w:val="000756EA"/>
    <w:rsid w:val="000B3EBA"/>
    <w:rsid w:val="000D701A"/>
    <w:rsid w:val="000F7107"/>
    <w:rsid w:val="00103979"/>
    <w:rsid w:val="00130355"/>
    <w:rsid w:val="001777DE"/>
    <w:rsid w:val="00194161"/>
    <w:rsid w:val="001B3473"/>
    <w:rsid w:val="001D53DE"/>
    <w:rsid w:val="001D616C"/>
    <w:rsid w:val="002516A9"/>
    <w:rsid w:val="00293112"/>
    <w:rsid w:val="002D3110"/>
    <w:rsid w:val="002F6FE3"/>
    <w:rsid w:val="00330BF3"/>
    <w:rsid w:val="0033577D"/>
    <w:rsid w:val="003635A1"/>
    <w:rsid w:val="003D4414"/>
    <w:rsid w:val="003F3B57"/>
    <w:rsid w:val="00460D09"/>
    <w:rsid w:val="004771E4"/>
    <w:rsid w:val="004B07D7"/>
    <w:rsid w:val="004B4508"/>
    <w:rsid w:val="004C7AA1"/>
    <w:rsid w:val="00543ED3"/>
    <w:rsid w:val="00590791"/>
    <w:rsid w:val="005A5F1F"/>
    <w:rsid w:val="005C4E7D"/>
    <w:rsid w:val="005D2CB5"/>
    <w:rsid w:val="0064460E"/>
    <w:rsid w:val="00661F18"/>
    <w:rsid w:val="0069419E"/>
    <w:rsid w:val="00700988"/>
    <w:rsid w:val="00712471"/>
    <w:rsid w:val="00724B10"/>
    <w:rsid w:val="00725F3D"/>
    <w:rsid w:val="007461B4"/>
    <w:rsid w:val="00747681"/>
    <w:rsid w:val="00782FA7"/>
    <w:rsid w:val="007A6774"/>
    <w:rsid w:val="007D7A54"/>
    <w:rsid w:val="0086116E"/>
    <w:rsid w:val="00887F53"/>
    <w:rsid w:val="008C101C"/>
    <w:rsid w:val="008F2FB4"/>
    <w:rsid w:val="008F6C41"/>
    <w:rsid w:val="009221A8"/>
    <w:rsid w:val="00950DCD"/>
    <w:rsid w:val="009C0882"/>
    <w:rsid w:val="00AE080B"/>
    <w:rsid w:val="00B47F2D"/>
    <w:rsid w:val="00B65460"/>
    <w:rsid w:val="00BA1BE1"/>
    <w:rsid w:val="00BD5AD4"/>
    <w:rsid w:val="00C06B9A"/>
    <w:rsid w:val="00C73D9A"/>
    <w:rsid w:val="00C856EB"/>
    <w:rsid w:val="00C965E3"/>
    <w:rsid w:val="00CC6635"/>
    <w:rsid w:val="00CF4BFA"/>
    <w:rsid w:val="00D36735"/>
    <w:rsid w:val="00D40BB8"/>
    <w:rsid w:val="00D81458"/>
    <w:rsid w:val="00D8389E"/>
    <w:rsid w:val="00DC06C6"/>
    <w:rsid w:val="00E05750"/>
    <w:rsid w:val="00E10C7F"/>
    <w:rsid w:val="00EA1141"/>
    <w:rsid w:val="00EB002A"/>
    <w:rsid w:val="00EB122C"/>
    <w:rsid w:val="00EC5AD5"/>
    <w:rsid w:val="00F233E3"/>
    <w:rsid w:val="00F86DEF"/>
    <w:rsid w:val="00FB3BC1"/>
    <w:rsid w:val="00FE0A0F"/>
    <w:rsid w:val="00FE6442"/>
    <w:rsid w:val="00FF31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72A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0C7F"/>
  </w:style>
  <w:style w:type="paragraph" w:styleId="Heading1">
    <w:name w:val="heading 1"/>
    <w:basedOn w:val="Normal"/>
    <w:next w:val="Normal"/>
    <w:link w:val="Heading1Char"/>
    <w:uiPriority w:val="9"/>
    <w:qFormat/>
    <w:rsid w:val="00103979"/>
    <w:pPr>
      <w:outlineLvl w:val="0"/>
    </w:pPr>
    <w:rPr>
      <w:b/>
      <w:bCs/>
      <w:caps/>
    </w:rPr>
  </w:style>
  <w:style w:type="paragraph" w:styleId="Heading2">
    <w:name w:val="heading 2"/>
    <w:basedOn w:val="Normal"/>
    <w:next w:val="Normal"/>
    <w:link w:val="Heading2Char"/>
    <w:uiPriority w:val="9"/>
    <w:unhideWhenUsed/>
    <w:qFormat/>
    <w:rsid w:val="00103979"/>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C7F"/>
    <w:pPr>
      <w:tabs>
        <w:tab w:val="center" w:pos="4680"/>
        <w:tab w:val="right" w:pos="9360"/>
      </w:tabs>
    </w:pPr>
  </w:style>
  <w:style w:type="character" w:customStyle="1" w:styleId="HeaderChar">
    <w:name w:val="Header Char"/>
    <w:basedOn w:val="DefaultParagraphFont"/>
    <w:link w:val="Header"/>
    <w:uiPriority w:val="99"/>
    <w:rsid w:val="00E10C7F"/>
    <w:rPr>
      <w:rFonts w:asciiTheme="minorHAnsi" w:hAnsiTheme="minorHAnsi" w:cstheme="minorBidi"/>
    </w:rPr>
  </w:style>
  <w:style w:type="paragraph" w:styleId="Footer">
    <w:name w:val="footer"/>
    <w:basedOn w:val="Normal"/>
    <w:link w:val="FooterChar"/>
    <w:uiPriority w:val="99"/>
    <w:unhideWhenUsed/>
    <w:rsid w:val="00E10C7F"/>
    <w:pPr>
      <w:tabs>
        <w:tab w:val="center" w:pos="4680"/>
        <w:tab w:val="right" w:pos="9360"/>
      </w:tabs>
    </w:pPr>
  </w:style>
  <w:style w:type="character" w:customStyle="1" w:styleId="FooterChar">
    <w:name w:val="Footer Char"/>
    <w:basedOn w:val="DefaultParagraphFont"/>
    <w:link w:val="Footer"/>
    <w:uiPriority w:val="99"/>
    <w:rsid w:val="00E10C7F"/>
    <w:rPr>
      <w:rFonts w:asciiTheme="minorHAnsi" w:hAnsiTheme="minorHAnsi" w:cstheme="minorBidi"/>
    </w:rPr>
  </w:style>
  <w:style w:type="character" w:styleId="PageNumber">
    <w:name w:val="page number"/>
    <w:basedOn w:val="DefaultParagraphFont"/>
    <w:uiPriority w:val="99"/>
    <w:semiHidden/>
    <w:unhideWhenUsed/>
    <w:rsid w:val="00E10C7F"/>
  </w:style>
  <w:style w:type="paragraph" w:styleId="ListParagraph">
    <w:name w:val="List Paragraph"/>
    <w:basedOn w:val="Normal"/>
    <w:uiPriority w:val="34"/>
    <w:qFormat/>
    <w:rsid w:val="005C4E7D"/>
    <w:pPr>
      <w:ind w:left="720"/>
      <w:contextualSpacing/>
    </w:pPr>
  </w:style>
  <w:style w:type="character" w:customStyle="1" w:styleId="apple-converted-space">
    <w:name w:val="apple-converted-space"/>
    <w:basedOn w:val="DefaultParagraphFont"/>
    <w:rsid w:val="00C06B9A"/>
  </w:style>
  <w:style w:type="character" w:styleId="Hyperlink">
    <w:name w:val="Hyperlink"/>
    <w:basedOn w:val="DefaultParagraphFont"/>
    <w:uiPriority w:val="99"/>
    <w:semiHidden/>
    <w:unhideWhenUsed/>
    <w:rsid w:val="00C06B9A"/>
    <w:rPr>
      <w:color w:val="0000FF"/>
      <w:u w:val="single"/>
    </w:rPr>
  </w:style>
  <w:style w:type="character" w:customStyle="1" w:styleId="tgc">
    <w:name w:val="_tgc"/>
    <w:basedOn w:val="DefaultParagraphFont"/>
    <w:rsid w:val="00C06B9A"/>
  </w:style>
  <w:style w:type="paragraph" w:styleId="FootnoteText">
    <w:name w:val="footnote text"/>
    <w:basedOn w:val="Normal"/>
    <w:link w:val="FootnoteTextChar"/>
    <w:uiPriority w:val="99"/>
    <w:unhideWhenUsed/>
    <w:rsid w:val="00C06B9A"/>
  </w:style>
  <w:style w:type="character" w:customStyle="1" w:styleId="FootnoteTextChar">
    <w:name w:val="Footnote Text Char"/>
    <w:basedOn w:val="DefaultParagraphFont"/>
    <w:link w:val="FootnoteText"/>
    <w:uiPriority w:val="99"/>
    <w:rsid w:val="00C06B9A"/>
    <w:rPr>
      <w:rFonts w:asciiTheme="minorHAnsi" w:eastAsiaTheme="minorHAnsi" w:hAnsiTheme="minorHAnsi" w:cstheme="minorBidi"/>
    </w:rPr>
  </w:style>
  <w:style w:type="character" w:styleId="FootnoteReference">
    <w:name w:val="footnote reference"/>
    <w:basedOn w:val="DefaultParagraphFont"/>
    <w:uiPriority w:val="99"/>
    <w:unhideWhenUsed/>
    <w:rsid w:val="00C06B9A"/>
    <w:rPr>
      <w:vertAlign w:val="superscript"/>
    </w:rPr>
  </w:style>
  <w:style w:type="paragraph" w:styleId="NormalWeb">
    <w:name w:val="Normal (Web)"/>
    <w:basedOn w:val="Normal"/>
    <w:uiPriority w:val="99"/>
    <w:semiHidden/>
    <w:unhideWhenUsed/>
    <w:rsid w:val="00C06B9A"/>
    <w:pPr>
      <w:spacing w:before="100" w:beforeAutospacing="1" w:after="100" w:afterAutospacing="1"/>
    </w:pPr>
  </w:style>
  <w:style w:type="character" w:customStyle="1" w:styleId="Heading1Char">
    <w:name w:val="Heading 1 Char"/>
    <w:basedOn w:val="DefaultParagraphFont"/>
    <w:link w:val="Heading1"/>
    <w:uiPriority w:val="9"/>
    <w:rsid w:val="00103979"/>
    <w:rPr>
      <w:rFonts w:eastAsiaTheme="minorHAnsi"/>
      <w:b/>
      <w:bCs/>
      <w:caps/>
    </w:rPr>
  </w:style>
  <w:style w:type="character" w:customStyle="1" w:styleId="Heading2Char">
    <w:name w:val="Heading 2 Char"/>
    <w:basedOn w:val="DefaultParagraphFont"/>
    <w:link w:val="Heading2"/>
    <w:uiPriority w:val="9"/>
    <w:rsid w:val="00103979"/>
    <w:rPr>
      <w:rFonts w:eastAsiaTheme="minorHAnsi"/>
      <w:b/>
    </w:rPr>
  </w:style>
  <w:style w:type="paragraph" w:styleId="TOCHeading">
    <w:name w:val="TOC Heading"/>
    <w:basedOn w:val="Heading1"/>
    <w:next w:val="Normal"/>
    <w:uiPriority w:val="39"/>
    <w:unhideWhenUsed/>
    <w:qFormat/>
    <w:rsid w:val="00590791"/>
    <w:pPr>
      <w:keepNext/>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OC1">
    <w:name w:val="toc 1"/>
    <w:basedOn w:val="Normal"/>
    <w:next w:val="Normal"/>
    <w:autoRedefine/>
    <w:uiPriority w:val="39"/>
    <w:unhideWhenUsed/>
    <w:rsid w:val="00590791"/>
    <w:pPr>
      <w:spacing w:before="120"/>
    </w:pPr>
    <w:rPr>
      <w:b/>
    </w:rPr>
  </w:style>
  <w:style w:type="paragraph" w:styleId="TOC2">
    <w:name w:val="toc 2"/>
    <w:basedOn w:val="Normal"/>
    <w:next w:val="Normal"/>
    <w:autoRedefine/>
    <w:uiPriority w:val="39"/>
    <w:unhideWhenUsed/>
    <w:rsid w:val="00C856EB"/>
    <w:pPr>
      <w:tabs>
        <w:tab w:val="right" w:leader="dot" w:pos="9350"/>
      </w:tabs>
      <w:ind w:left="240"/>
    </w:pPr>
    <w:rPr>
      <w:noProof/>
      <w:sz w:val="22"/>
      <w:szCs w:val="22"/>
    </w:rPr>
  </w:style>
  <w:style w:type="paragraph" w:styleId="TOC3">
    <w:name w:val="toc 3"/>
    <w:basedOn w:val="Normal"/>
    <w:next w:val="Normal"/>
    <w:autoRedefine/>
    <w:uiPriority w:val="39"/>
    <w:semiHidden/>
    <w:unhideWhenUsed/>
    <w:rsid w:val="00590791"/>
    <w:pPr>
      <w:ind w:left="480"/>
    </w:pPr>
    <w:rPr>
      <w:sz w:val="22"/>
      <w:szCs w:val="22"/>
    </w:rPr>
  </w:style>
  <w:style w:type="paragraph" w:styleId="TOC4">
    <w:name w:val="toc 4"/>
    <w:basedOn w:val="Normal"/>
    <w:next w:val="Normal"/>
    <w:autoRedefine/>
    <w:uiPriority w:val="39"/>
    <w:semiHidden/>
    <w:unhideWhenUsed/>
    <w:rsid w:val="00590791"/>
    <w:pPr>
      <w:ind w:left="720"/>
    </w:pPr>
    <w:rPr>
      <w:sz w:val="20"/>
      <w:szCs w:val="20"/>
    </w:rPr>
  </w:style>
  <w:style w:type="paragraph" w:styleId="TOC5">
    <w:name w:val="toc 5"/>
    <w:basedOn w:val="Normal"/>
    <w:next w:val="Normal"/>
    <w:autoRedefine/>
    <w:uiPriority w:val="39"/>
    <w:semiHidden/>
    <w:unhideWhenUsed/>
    <w:rsid w:val="00590791"/>
    <w:pPr>
      <w:ind w:left="960"/>
    </w:pPr>
    <w:rPr>
      <w:sz w:val="20"/>
      <w:szCs w:val="20"/>
    </w:rPr>
  </w:style>
  <w:style w:type="paragraph" w:styleId="TOC6">
    <w:name w:val="toc 6"/>
    <w:basedOn w:val="Normal"/>
    <w:next w:val="Normal"/>
    <w:autoRedefine/>
    <w:uiPriority w:val="39"/>
    <w:semiHidden/>
    <w:unhideWhenUsed/>
    <w:rsid w:val="00590791"/>
    <w:pPr>
      <w:ind w:left="1200"/>
    </w:pPr>
    <w:rPr>
      <w:sz w:val="20"/>
      <w:szCs w:val="20"/>
    </w:rPr>
  </w:style>
  <w:style w:type="paragraph" w:styleId="TOC7">
    <w:name w:val="toc 7"/>
    <w:basedOn w:val="Normal"/>
    <w:next w:val="Normal"/>
    <w:autoRedefine/>
    <w:uiPriority w:val="39"/>
    <w:semiHidden/>
    <w:unhideWhenUsed/>
    <w:rsid w:val="00590791"/>
    <w:pPr>
      <w:ind w:left="1440"/>
    </w:pPr>
    <w:rPr>
      <w:sz w:val="20"/>
      <w:szCs w:val="20"/>
    </w:rPr>
  </w:style>
  <w:style w:type="paragraph" w:styleId="TOC8">
    <w:name w:val="toc 8"/>
    <w:basedOn w:val="Normal"/>
    <w:next w:val="Normal"/>
    <w:autoRedefine/>
    <w:uiPriority w:val="39"/>
    <w:semiHidden/>
    <w:unhideWhenUsed/>
    <w:rsid w:val="00590791"/>
    <w:pPr>
      <w:ind w:left="1680"/>
    </w:pPr>
    <w:rPr>
      <w:sz w:val="20"/>
      <w:szCs w:val="20"/>
    </w:rPr>
  </w:style>
  <w:style w:type="paragraph" w:styleId="TOC9">
    <w:name w:val="toc 9"/>
    <w:basedOn w:val="Normal"/>
    <w:next w:val="Normal"/>
    <w:autoRedefine/>
    <w:uiPriority w:val="39"/>
    <w:semiHidden/>
    <w:unhideWhenUsed/>
    <w:rsid w:val="00590791"/>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6548">
      <w:bodyDiv w:val="1"/>
      <w:marLeft w:val="0"/>
      <w:marRight w:val="0"/>
      <w:marTop w:val="0"/>
      <w:marBottom w:val="0"/>
      <w:divBdr>
        <w:top w:val="none" w:sz="0" w:space="0" w:color="auto"/>
        <w:left w:val="none" w:sz="0" w:space="0" w:color="auto"/>
        <w:bottom w:val="none" w:sz="0" w:space="0" w:color="auto"/>
        <w:right w:val="none" w:sz="0" w:space="0" w:color="auto"/>
      </w:divBdr>
      <w:divsChild>
        <w:div w:id="574315251">
          <w:marLeft w:val="0"/>
          <w:marRight w:val="0"/>
          <w:marTop w:val="0"/>
          <w:marBottom w:val="0"/>
          <w:divBdr>
            <w:top w:val="none" w:sz="0" w:space="0" w:color="auto"/>
            <w:left w:val="none" w:sz="0" w:space="0" w:color="auto"/>
            <w:bottom w:val="none" w:sz="0" w:space="0" w:color="auto"/>
            <w:right w:val="none" w:sz="0" w:space="0" w:color="auto"/>
          </w:divBdr>
        </w:div>
        <w:div w:id="1309942846">
          <w:marLeft w:val="0"/>
          <w:marRight w:val="0"/>
          <w:marTop w:val="0"/>
          <w:marBottom w:val="0"/>
          <w:divBdr>
            <w:top w:val="none" w:sz="0" w:space="0" w:color="auto"/>
            <w:left w:val="none" w:sz="0" w:space="0" w:color="auto"/>
            <w:bottom w:val="none" w:sz="0" w:space="0" w:color="auto"/>
            <w:right w:val="none" w:sz="0" w:space="0" w:color="auto"/>
          </w:divBdr>
        </w:div>
        <w:div w:id="1608462075">
          <w:marLeft w:val="0"/>
          <w:marRight w:val="0"/>
          <w:marTop w:val="0"/>
          <w:marBottom w:val="0"/>
          <w:divBdr>
            <w:top w:val="none" w:sz="0" w:space="0" w:color="auto"/>
            <w:left w:val="none" w:sz="0" w:space="0" w:color="auto"/>
            <w:bottom w:val="none" w:sz="0" w:space="0" w:color="auto"/>
            <w:right w:val="none" w:sz="0" w:space="0" w:color="auto"/>
          </w:divBdr>
        </w:div>
        <w:div w:id="1821145915">
          <w:marLeft w:val="0"/>
          <w:marRight w:val="0"/>
          <w:marTop w:val="0"/>
          <w:marBottom w:val="0"/>
          <w:divBdr>
            <w:top w:val="none" w:sz="0" w:space="0" w:color="auto"/>
            <w:left w:val="none" w:sz="0" w:space="0" w:color="auto"/>
            <w:bottom w:val="none" w:sz="0" w:space="0" w:color="auto"/>
            <w:right w:val="none" w:sz="0" w:space="0" w:color="auto"/>
          </w:divBdr>
        </w:div>
        <w:div w:id="647830860">
          <w:marLeft w:val="0"/>
          <w:marRight w:val="0"/>
          <w:marTop w:val="0"/>
          <w:marBottom w:val="0"/>
          <w:divBdr>
            <w:top w:val="none" w:sz="0" w:space="0" w:color="auto"/>
            <w:left w:val="none" w:sz="0" w:space="0" w:color="auto"/>
            <w:bottom w:val="none" w:sz="0" w:space="0" w:color="auto"/>
            <w:right w:val="none" w:sz="0" w:space="0" w:color="auto"/>
          </w:divBdr>
        </w:div>
      </w:divsChild>
    </w:div>
    <w:div w:id="1607537445">
      <w:bodyDiv w:val="1"/>
      <w:marLeft w:val="0"/>
      <w:marRight w:val="0"/>
      <w:marTop w:val="0"/>
      <w:marBottom w:val="0"/>
      <w:divBdr>
        <w:top w:val="none" w:sz="0" w:space="0" w:color="auto"/>
        <w:left w:val="none" w:sz="0" w:space="0" w:color="auto"/>
        <w:bottom w:val="none" w:sz="0" w:space="0" w:color="auto"/>
        <w:right w:val="none" w:sz="0" w:space="0" w:color="auto"/>
      </w:divBdr>
      <w:divsChild>
        <w:div w:id="1488783409">
          <w:marLeft w:val="0"/>
          <w:marRight w:val="0"/>
          <w:marTop w:val="0"/>
          <w:marBottom w:val="0"/>
          <w:divBdr>
            <w:top w:val="none" w:sz="0" w:space="0" w:color="auto"/>
            <w:left w:val="none" w:sz="0" w:space="0" w:color="auto"/>
            <w:bottom w:val="none" w:sz="0" w:space="0" w:color="auto"/>
            <w:right w:val="none" w:sz="0" w:space="0" w:color="auto"/>
          </w:divBdr>
        </w:div>
        <w:div w:id="1448891766">
          <w:marLeft w:val="0"/>
          <w:marRight w:val="0"/>
          <w:marTop w:val="0"/>
          <w:marBottom w:val="0"/>
          <w:divBdr>
            <w:top w:val="none" w:sz="0" w:space="0" w:color="auto"/>
            <w:left w:val="none" w:sz="0" w:space="0" w:color="auto"/>
            <w:bottom w:val="none" w:sz="0" w:space="0" w:color="auto"/>
            <w:right w:val="none" w:sz="0" w:space="0" w:color="auto"/>
          </w:divBdr>
        </w:div>
        <w:div w:id="857423673">
          <w:marLeft w:val="0"/>
          <w:marRight w:val="0"/>
          <w:marTop w:val="0"/>
          <w:marBottom w:val="0"/>
          <w:divBdr>
            <w:top w:val="none" w:sz="0" w:space="0" w:color="auto"/>
            <w:left w:val="none" w:sz="0" w:space="0" w:color="auto"/>
            <w:bottom w:val="none" w:sz="0" w:space="0" w:color="auto"/>
            <w:right w:val="none" w:sz="0" w:space="0" w:color="auto"/>
          </w:divBdr>
        </w:div>
        <w:div w:id="79714654">
          <w:marLeft w:val="0"/>
          <w:marRight w:val="0"/>
          <w:marTop w:val="0"/>
          <w:marBottom w:val="0"/>
          <w:divBdr>
            <w:top w:val="none" w:sz="0" w:space="0" w:color="auto"/>
            <w:left w:val="none" w:sz="0" w:space="0" w:color="auto"/>
            <w:bottom w:val="none" w:sz="0" w:space="0" w:color="auto"/>
            <w:right w:val="none" w:sz="0" w:space="0" w:color="auto"/>
          </w:divBdr>
        </w:div>
        <w:div w:id="2108961883">
          <w:marLeft w:val="0"/>
          <w:marRight w:val="0"/>
          <w:marTop w:val="0"/>
          <w:marBottom w:val="0"/>
          <w:divBdr>
            <w:top w:val="none" w:sz="0" w:space="0" w:color="auto"/>
            <w:left w:val="none" w:sz="0" w:space="0" w:color="auto"/>
            <w:bottom w:val="none" w:sz="0" w:space="0" w:color="auto"/>
            <w:right w:val="none" w:sz="0" w:space="0" w:color="auto"/>
          </w:divBdr>
        </w:div>
        <w:div w:id="206796681">
          <w:marLeft w:val="0"/>
          <w:marRight w:val="0"/>
          <w:marTop w:val="0"/>
          <w:marBottom w:val="0"/>
          <w:divBdr>
            <w:top w:val="none" w:sz="0" w:space="0" w:color="auto"/>
            <w:left w:val="none" w:sz="0" w:space="0" w:color="auto"/>
            <w:bottom w:val="none" w:sz="0" w:space="0" w:color="auto"/>
            <w:right w:val="none" w:sz="0" w:space="0" w:color="auto"/>
          </w:divBdr>
        </w:div>
        <w:div w:id="2059162835">
          <w:marLeft w:val="0"/>
          <w:marRight w:val="0"/>
          <w:marTop w:val="0"/>
          <w:marBottom w:val="0"/>
          <w:divBdr>
            <w:top w:val="none" w:sz="0" w:space="0" w:color="auto"/>
            <w:left w:val="none" w:sz="0" w:space="0" w:color="auto"/>
            <w:bottom w:val="none" w:sz="0" w:space="0" w:color="auto"/>
            <w:right w:val="none" w:sz="0" w:space="0" w:color="auto"/>
          </w:divBdr>
        </w:div>
        <w:div w:id="951476918">
          <w:marLeft w:val="0"/>
          <w:marRight w:val="0"/>
          <w:marTop w:val="0"/>
          <w:marBottom w:val="0"/>
          <w:divBdr>
            <w:top w:val="none" w:sz="0" w:space="0" w:color="auto"/>
            <w:left w:val="none" w:sz="0" w:space="0" w:color="auto"/>
            <w:bottom w:val="none" w:sz="0" w:space="0" w:color="auto"/>
            <w:right w:val="none" w:sz="0" w:space="0" w:color="auto"/>
          </w:divBdr>
        </w:div>
        <w:div w:id="122159801">
          <w:marLeft w:val="0"/>
          <w:marRight w:val="0"/>
          <w:marTop w:val="0"/>
          <w:marBottom w:val="0"/>
          <w:divBdr>
            <w:top w:val="none" w:sz="0" w:space="0" w:color="auto"/>
            <w:left w:val="none" w:sz="0" w:space="0" w:color="auto"/>
            <w:bottom w:val="none" w:sz="0" w:space="0" w:color="auto"/>
            <w:right w:val="none" w:sz="0" w:space="0" w:color="auto"/>
          </w:divBdr>
        </w:div>
        <w:div w:id="218828824">
          <w:marLeft w:val="0"/>
          <w:marRight w:val="0"/>
          <w:marTop w:val="0"/>
          <w:marBottom w:val="0"/>
          <w:divBdr>
            <w:top w:val="none" w:sz="0" w:space="0" w:color="auto"/>
            <w:left w:val="none" w:sz="0" w:space="0" w:color="auto"/>
            <w:bottom w:val="none" w:sz="0" w:space="0" w:color="auto"/>
            <w:right w:val="none" w:sz="0" w:space="0" w:color="auto"/>
          </w:divBdr>
        </w:div>
        <w:div w:id="1988975040">
          <w:marLeft w:val="0"/>
          <w:marRight w:val="0"/>
          <w:marTop w:val="0"/>
          <w:marBottom w:val="0"/>
          <w:divBdr>
            <w:top w:val="none" w:sz="0" w:space="0" w:color="auto"/>
            <w:left w:val="none" w:sz="0" w:space="0" w:color="auto"/>
            <w:bottom w:val="none" w:sz="0" w:space="0" w:color="auto"/>
            <w:right w:val="none" w:sz="0" w:space="0" w:color="auto"/>
          </w:divBdr>
        </w:div>
        <w:div w:id="767971189">
          <w:marLeft w:val="0"/>
          <w:marRight w:val="0"/>
          <w:marTop w:val="0"/>
          <w:marBottom w:val="0"/>
          <w:divBdr>
            <w:top w:val="none" w:sz="0" w:space="0" w:color="auto"/>
            <w:left w:val="none" w:sz="0" w:space="0" w:color="auto"/>
            <w:bottom w:val="none" w:sz="0" w:space="0" w:color="auto"/>
            <w:right w:val="none" w:sz="0" w:space="0" w:color="auto"/>
          </w:divBdr>
        </w:div>
        <w:div w:id="1707749460">
          <w:marLeft w:val="0"/>
          <w:marRight w:val="0"/>
          <w:marTop w:val="0"/>
          <w:marBottom w:val="0"/>
          <w:divBdr>
            <w:top w:val="none" w:sz="0" w:space="0" w:color="auto"/>
            <w:left w:val="none" w:sz="0" w:space="0" w:color="auto"/>
            <w:bottom w:val="none" w:sz="0" w:space="0" w:color="auto"/>
            <w:right w:val="none" w:sz="0" w:space="0" w:color="auto"/>
          </w:divBdr>
        </w:div>
        <w:div w:id="300041397">
          <w:marLeft w:val="0"/>
          <w:marRight w:val="0"/>
          <w:marTop w:val="0"/>
          <w:marBottom w:val="0"/>
          <w:divBdr>
            <w:top w:val="none" w:sz="0" w:space="0" w:color="auto"/>
            <w:left w:val="none" w:sz="0" w:space="0" w:color="auto"/>
            <w:bottom w:val="none" w:sz="0" w:space="0" w:color="auto"/>
            <w:right w:val="none" w:sz="0" w:space="0" w:color="auto"/>
          </w:divBdr>
        </w:div>
        <w:div w:id="1607544908">
          <w:marLeft w:val="0"/>
          <w:marRight w:val="0"/>
          <w:marTop w:val="0"/>
          <w:marBottom w:val="0"/>
          <w:divBdr>
            <w:top w:val="none" w:sz="0" w:space="0" w:color="auto"/>
            <w:left w:val="none" w:sz="0" w:space="0" w:color="auto"/>
            <w:bottom w:val="none" w:sz="0" w:space="0" w:color="auto"/>
            <w:right w:val="none" w:sz="0" w:space="0" w:color="auto"/>
          </w:divBdr>
        </w:div>
      </w:divsChild>
    </w:div>
    <w:div w:id="1622540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s://www.fda.gov/Food/GuidanceRegulation/%20GuidanceDocumentsRegulatoryInformation/%20LabelingNutrition/ucm064928.htm" TargetMode="Externa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D6D5F-025B-2F40-BA08-2E2D7B29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3228</Words>
  <Characters>18401</Characters>
  <Application>Microsoft Macintosh Word</Application>
  <DocSecurity>0</DocSecurity>
  <Lines>153</Lines>
  <Paragraphs>43</Paragraphs>
  <ScaleCrop>false</ScaleCrop>
  <Company/>
  <LinksUpToDate>false</LinksUpToDate>
  <CharactersWithSpaces>21586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Julie Adams</cp:lastModifiedBy>
  <cp:revision>7</cp:revision>
  <dcterms:created xsi:type="dcterms:W3CDTF">2017-06-16T04:23:00Z</dcterms:created>
  <dcterms:modified xsi:type="dcterms:W3CDTF">2017-06-16T04:33:00Z</dcterms:modified>
</cp:coreProperties>
</file>