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5756B5B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President </w:t>
      </w:r>
    </w:p>
    <w:p w14:paraId="3486C809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John </w:t>
      </w:r>
      <w:proofErr w:type="spellStart"/>
      <w:r>
        <w:rPr>
          <w:rFonts w:ascii="Arial" w:hAnsi="Arial"/>
          <w:i/>
          <w:sz w:val="16"/>
        </w:rPr>
        <w:t>Stanskas</w:t>
      </w:r>
      <w:proofErr w:type="spellEnd"/>
    </w:p>
    <w:p w14:paraId="31B4D9D6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0215B50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15CF39B8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49E60FB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19F53E4A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706364D0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301F67CA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3FDD7D56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2F1E14A0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300A036F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0B3293D7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2E5E62C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5FFD3DD" w14:textId="77777777" w:rsidR="00400C2F" w:rsidRPr="00AB277E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726FBD3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43BBEC62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1B6844F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0A2B9281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 College</w:t>
      </w:r>
    </w:p>
    <w:p w14:paraId="44A00441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49CFFD97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4B406ABD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014BA92F" w14:textId="77777777" w:rsidR="00400C2F" w:rsidRPr="00346B13" w:rsidRDefault="00400C2F" w:rsidP="00400C2F">
      <w:pPr>
        <w:spacing w:line="215" w:lineRule="auto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DeAnza</w:t>
      </w:r>
      <w:proofErr w:type="spellEnd"/>
      <w:r>
        <w:rPr>
          <w:rFonts w:ascii="Arial" w:hAnsi="Arial"/>
          <w:i/>
          <w:sz w:val="16"/>
        </w:rPr>
        <w:t xml:space="preserve"> College</w:t>
      </w:r>
    </w:p>
    <w:p w14:paraId="4EA61F5A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560DB123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6651712A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Michelle Bean</w:t>
      </w:r>
    </w:p>
    <w:p w14:paraId="5D6F5636" w14:textId="77777777" w:rsidR="00400C2F" w:rsidRPr="004A41E7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Rio Hondo College</w:t>
      </w:r>
    </w:p>
    <w:p w14:paraId="134B3C6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4859B6CD" w14:textId="77777777" w:rsidR="00400C2F" w:rsidRDefault="00400C2F" w:rsidP="00400C2F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4C6BFD3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47B9C3F7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 College</w:t>
      </w:r>
    </w:p>
    <w:p w14:paraId="3C9FAB0E" w14:textId="77777777" w:rsidR="00400C2F" w:rsidRPr="004A41E7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54720722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35889565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53D808B3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 College</w:t>
      </w:r>
    </w:p>
    <w:p w14:paraId="21D2A008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2852270D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72B0F6E2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Stephanie Curry</w:t>
      </w:r>
    </w:p>
    <w:p w14:paraId="09FC4227" w14:textId="77777777" w:rsidR="00400C2F" w:rsidRPr="00346B13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Reedley College</w:t>
      </w:r>
    </w:p>
    <w:p w14:paraId="2D8283FF" w14:textId="77777777" w:rsidR="00400C2F" w:rsidRPr="00820317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030E9F76" w14:textId="77777777" w:rsidR="00400C2F" w:rsidRDefault="00400C2F" w:rsidP="00400C2F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30832D4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 Foster</w:t>
      </w:r>
    </w:p>
    <w:p w14:paraId="4C92DB5D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Fullerton College</w:t>
      </w:r>
    </w:p>
    <w:p w14:paraId="38F6624A" w14:textId="77777777" w:rsidR="00400C2F" w:rsidRPr="001116C9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5F25931D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3F899E65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1D8E60E2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 College</w:t>
      </w:r>
    </w:p>
    <w:p w14:paraId="7A278FEC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</w:p>
    <w:p w14:paraId="5AC9380F" w14:textId="77777777" w:rsidR="00400C2F" w:rsidRPr="00D00E6B" w:rsidRDefault="00400C2F" w:rsidP="00400C2F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747883DE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4E67D57B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 </w:t>
      </w:r>
    </w:p>
    <w:p w14:paraId="0075B704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</w:p>
    <w:p w14:paraId="3EFAB413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32DB0968" w14:textId="77777777" w:rsidR="00400C2F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Nathaniel Donahue</w:t>
      </w:r>
    </w:p>
    <w:p w14:paraId="1804AB2F" w14:textId="77777777" w:rsidR="00400C2F" w:rsidRPr="00D00E6B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Santa Monica College  </w:t>
      </w:r>
    </w:p>
    <w:p w14:paraId="0627D9BC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41D8A27E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2EDE8129" w14:textId="77777777" w:rsidR="00400C2F" w:rsidRDefault="00400C2F" w:rsidP="00400C2F">
      <w:pPr>
        <w:spacing w:line="215" w:lineRule="auto"/>
        <w:rPr>
          <w:rFonts w:ascii="Arial" w:hAnsi="Arial"/>
          <w:b/>
          <w:i/>
          <w:sz w:val="16"/>
        </w:rPr>
      </w:pPr>
    </w:p>
    <w:p w14:paraId="290DBD04" w14:textId="77777777" w:rsidR="00400C2F" w:rsidRDefault="00400C2F" w:rsidP="00400C2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0F1901FF" w14:textId="77777777" w:rsidR="00400C2F" w:rsidRPr="00F43BE4" w:rsidRDefault="00400C2F" w:rsidP="00400C2F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Krystinne Mica</w:t>
      </w:r>
    </w:p>
    <w:p w14:paraId="1D300505" w14:textId="7472132E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270A00CC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98E666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Pr="00D00E6B" w:rsidRDefault="007D586E" w:rsidP="00077D17">
      <w:pPr>
        <w:rPr>
          <w:rFonts w:ascii="Arial" w:hAnsi="Arial" w:cs="Arial"/>
        </w:rPr>
      </w:pPr>
    </w:p>
    <w:p w14:paraId="73F64B5C" w14:textId="77777777" w:rsidR="00E56604" w:rsidRPr="000E571C" w:rsidRDefault="00E56604" w:rsidP="00E56604">
      <w:pPr>
        <w:spacing w:line="214" w:lineRule="auto"/>
        <w:jc w:val="center"/>
        <w:rPr>
          <w:b/>
          <w:bCs/>
          <w:sz w:val="22"/>
          <w:szCs w:val="22"/>
        </w:rPr>
      </w:pPr>
      <w:r w:rsidRPr="000E571C">
        <w:rPr>
          <w:b/>
          <w:bCs/>
          <w:sz w:val="22"/>
          <w:szCs w:val="22"/>
        </w:rPr>
        <w:t>Exemplary</w:t>
      </w:r>
      <w:r>
        <w:rPr>
          <w:b/>
          <w:bCs/>
          <w:sz w:val="22"/>
          <w:szCs w:val="22"/>
        </w:rPr>
        <w:t xml:space="preserve"> </w:t>
      </w:r>
      <w:r w:rsidRPr="000E571C">
        <w:rPr>
          <w:b/>
          <w:bCs/>
          <w:sz w:val="22"/>
          <w:szCs w:val="22"/>
        </w:rPr>
        <w:t>Program Award</w:t>
      </w:r>
    </w:p>
    <w:p w14:paraId="4AB5F3DE" w14:textId="77777777" w:rsidR="00E56604" w:rsidRDefault="00E56604" w:rsidP="00E56604">
      <w:pPr>
        <w:ind w:right="720"/>
        <w:rPr>
          <w:bCs/>
          <w:sz w:val="22"/>
          <w:szCs w:val="22"/>
        </w:rPr>
      </w:pPr>
    </w:p>
    <w:p w14:paraId="415977C5" w14:textId="77777777" w:rsidR="00E56604" w:rsidRDefault="00E56604" w:rsidP="00E56604">
      <w:p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The Academic Senate is pleased to announce the call for nominations fo</w:t>
      </w:r>
      <w:r>
        <w:rPr>
          <w:bCs/>
          <w:sz w:val="22"/>
          <w:szCs w:val="22"/>
        </w:rPr>
        <w:t xml:space="preserve">r the Exemplary Program Award. </w:t>
      </w:r>
      <w:r w:rsidRPr="008D2688">
        <w:rPr>
          <w:bCs/>
          <w:sz w:val="22"/>
          <w:szCs w:val="22"/>
        </w:rPr>
        <w:t xml:space="preserve">Sponsored annually by the Foundation for California Community Colleges, the Board of Governors established the Exemplary Program Award in 1991 to recognize outstanding community college programs. </w:t>
      </w:r>
    </w:p>
    <w:p w14:paraId="20549E87" w14:textId="77777777" w:rsidR="00E56604" w:rsidRDefault="00E56604" w:rsidP="00E56604">
      <w:pPr>
        <w:ind w:right="450"/>
        <w:rPr>
          <w:bCs/>
          <w:sz w:val="22"/>
          <w:szCs w:val="22"/>
        </w:rPr>
      </w:pPr>
    </w:p>
    <w:p w14:paraId="49F4BC4B" w14:textId="2B125971" w:rsidR="00496554" w:rsidRPr="000325BC" w:rsidRDefault="00E56604" w:rsidP="00B95FC5">
      <w:pPr>
        <w:ind w:right="360"/>
      </w:pPr>
      <w:r w:rsidRPr="000325BC">
        <w:rPr>
          <w:bCs/>
          <w:sz w:val="22"/>
          <w:szCs w:val="22"/>
        </w:rPr>
        <w:t>The Academic Senate selects annual themes related to the award’s traditions and statewide trends.</w:t>
      </w:r>
      <w:r w:rsidR="00B95FC5" w:rsidRPr="000325BC">
        <w:rPr>
          <w:bCs/>
          <w:sz w:val="22"/>
          <w:szCs w:val="22"/>
        </w:rPr>
        <w:t xml:space="preserve"> The California </w:t>
      </w:r>
      <w:r w:rsidR="005C1E61" w:rsidRPr="000325BC">
        <w:rPr>
          <w:bCs/>
          <w:sz w:val="22"/>
          <w:szCs w:val="22"/>
        </w:rPr>
        <w:t>C</w:t>
      </w:r>
      <w:r w:rsidR="00B95FC5" w:rsidRPr="000325BC">
        <w:rPr>
          <w:bCs/>
          <w:sz w:val="22"/>
          <w:szCs w:val="22"/>
        </w:rPr>
        <w:t xml:space="preserve">ommunity </w:t>
      </w:r>
      <w:r w:rsidR="005C1E61" w:rsidRPr="000325BC">
        <w:rPr>
          <w:bCs/>
          <w:sz w:val="22"/>
          <w:szCs w:val="22"/>
        </w:rPr>
        <w:t>C</w:t>
      </w:r>
      <w:r w:rsidR="00B95FC5" w:rsidRPr="000325BC">
        <w:rPr>
          <w:bCs/>
          <w:sz w:val="22"/>
          <w:szCs w:val="22"/>
        </w:rPr>
        <w:t>ollege</w:t>
      </w:r>
      <w:r w:rsidR="005C1E61" w:rsidRPr="000325BC">
        <w:rPr>
          <w:bCs/>
          <w:sz w:val="22"/>
          <w:szCs w:val="22"/>
        </w:rPr>
        <w:t>s</w:t>
      </w:r>
      <w:r w:rsidR="00B95FC5" w:rsidRPr="000325BC">
        <w:rPr>
          <w:bCs/>
          <w:sz w:val="22"/>
          <w:szCs w:val="22"/>
        </w:rPr>
        <w:t xml:space="preserve"> system is the largest public higher education system in the country, </w:t>
      </w:r>
      <w:r w:rsidR="00D833FF" w:rsidRPr="000325BC">
        <w:rPr>
          <w:bCs/>
          <w:sz w:val="22"/>
          <w:szCs w:val="22"/>
        </w:rPr>
        <w:t>enrolling</w:t>
      </w:r>
      <w:r w:rsidR="00B95FC5" w:rsidRPr="000325BC">
        <w:rPr>
          <w:bCs/>
          <w:sz w:val="22"/>
          <w:szCs w:val="22"/>
        </w:rPr>
        <w:t xml:space="preserve"> over 2.</w:t>
      </w:r>
      <w:r w:rsidR="00146B3E">
        <w:rPr>
          <w:bCs/>
          <w:sz w:val="22"/>
          <w:szCs w:val="22"/>
        </w:rPr>
        <w:t>4</w:t>
      </w:r>
      <w:r w:rsidR="00B95FC5" w:rsidRPr="000325BC">
        <w:rPr>
          <w:bCs/>
          <w:sz w:val="22"/>
          <w:szCs w:val="22"/>
        </w:rPr>
        <w:t xml:space="preserve"> million students.</w:t>
      </w:r>
      <w:r w:rsidR="00D16344" w:rsidRPr="000325BC">
        <w:rPr>
          <w:bCs/>
          <w:sz w:val="22"/>
          <w:szCs w:val="22"/>
        </w:rPr>
        <w:t xml:space="preserve"> </w:t>
      </w:r>
      <w:r w:rsidR="00B95FC5" w:rsidRPr="000325BC">
        <w:rPr>
          <w:bCs/>
          <w:sz w:val="22"/>
          <w:szCs w:val="22"/>
        </w:rPr>
        <w:t>California community college students</w:t>
      </w:r>
      <w:r w:rsidR="009F5763" w:rsidRPr="000325BC">
        <w:rPr>
          <w:bCs/>
          <w:sz w:val="22"/>
          <w:szCs w:val="22"/>
        </w:rPr>
        <w:t xml:space="preserve"> have diverse </w:t>
      </w:r>
      <w:r w:rsidR="00B95FC5" w:rsidRPr="000325BC">
        <w:rPr>
          <w:bCs/>
          <w:sz w:val="22"/>
          <w:szCs w:val="22"/>
        </w:rPr>
        <w:t>backgrounds and experiences,</w:t>
      </w:r>
      <w:r w:rsidR="009F5763" w:rsidRPr="000325BC">
        <w:rPr>
          <w:bCs/>
          <w:sz w:val="22"/>
          <w:szCs w:val="22"/>
        </w:rPr>
        <w:t xml:space="preserve"> and the California Community Colleges system serves many populations of students,</w:t>
      </w:r>
      <w:r w:rsidR="00B95FC5" w:rsidRPr="000325BC">
        <w:rPr>
          <w:bCs/>
          <w:sz w:val="22"/>
          <w:szCs w:val="22"/>
        </w:rPr>
        <w:t xml:space="preserve"> including veterans, undocumented students, </w:t>
      </w:r>
      <w:r w:rsidR="00D833FF" w:rsidRPr="000325BC">
        <w:rPr>
          <w:bCs/>
          <w:sz w:val="22"/>
          <w:szCs w:val="22"/>
        </w:rPr>
        <w:t>and foster youth</w:t>
      </w:r>
      <w:r w:rsidR="00B95FC5" w:rsidRPr="000325BC">
        <w:rPr>
          <w:bCs/>
          <w:sz w:val="22"/>
          <w:szCs w:val="22"/>
        </w:rPr>
        <w:t xml:space="preserve">. Recognizing the importance of providing support to our student population as a whole, the Academic Senate focused the theme for this year’s 2019 -20 Exemplary Program award on “Student Support Services.” </w:t>
      </w:r>
    </w:p>
    <w:p w14:paraId="43910B15" w14:textId="7B90867E" w:rsidR="00C961EB" w:rsidRPr="000325BC" w:rsidRDefault="00C961EB" w:rsidP="00E56604">
      <w:pPr>
        <w:ind w:right="360"/>
        <w:rPr>
          <w:sz w:val="22"/>
          <w:szCs w:val="22"/>
        </w:rPr>
      </w:pPr>
    </w:p>
    <w:p w14:paraId="69527257" w14:textId="626661DF" w:rsidR="00E56604" w:rsidRDefault="00B95FC5" w:rsidP="00E56604">
      <w:pPr>
        <w:ind w:right="360"/>
        <w:rPr>
          <w:sz w:val="22"/>
          <w:szCs w:val="22"/>
        </w:rPr>
      </w:pPr>
      <w:r w:rsidRPr="000325BC">
        <w:rPr>
          <w:bCs/>
          <w:sz w:val="22"/>
          <w:szCs w:val="22"/>
        </w:rPr>
        <w:t>Student Support Services can</w:t>
      </w:r>
      <w:r w:rsidR="0062165C" w:rsidRPr="000325BC">
        <w:rPr>
          <w:bCs/>
          <w:sz w:val="22"/>
          <w:szCs w:val="22"/>
        </w:rPr>
        <w:t xml:space="preserve"> be demonstrated in a variety of ways</w:t>
      </w:r>
      <w:r w:rsidR="00B04CC0" w:rsidRPr="000325BC">
        <w:rPr>
          <w:bCs/>
          <w:sz w:val="22"/>
          <w:szCs w:val="22"/>
        </w:rPr>
        <w:t xml:space="preserve">. Colleges are encouraged to consider faculty roles in </w:t>
      </w:r>
      <w:r w:rsidRPr="000325BC">
        <w:rPr>
          <w:bCs/>
          <w:sz w:val="22"/>
          <w:szCs w:val="22"/>
        </w:rPr>
        <w:t>student support</w:t>
      </w:r>
      <w:r w:rsidR="00B04CC0" w:rsidRPr="000325BC">
        <w:rPr>
          <w:bCs/>
          <w:sz w:val="22"/>
          <w:szCs w:val="22"/>
        </w:rPr>
        <w:t xml:space="preserve"> programs</w:t>
      </w:r>
      <w:r w:rsidR="00D16344" w:rsidRPr="000325BC">
        <w:rPr>
          <w:bCs/>
          <w:sz w:val="22"/>
          <w:szCs w:val="22"/>
        </w:rPr>
        <w:t>. Some examples include</w:t>
      </w:r>
      <w:r w:rsidR="001260C6">
        <w:rPr>
          <w:bCs/>
          <w:sz w:val="22"/>
          <w:szCs w:val="22"/>
        </w:rPr>
        <w:t xml:space="preserve"> library ser</w:t>
      </w:r>
      <w:bookmarkStart w:id="0" w:name="_GoBack"/>
      <w:bookmarkEnd w:id="0"/>
      <w:r w:rsidR="001260C6">
        <w:rPr>
          <w:bCs/>
          <w:sz w:val="22"/>
          <w:szCs w:val="22"/>
        </w:rPr>
        <w:t>vices,</w:t>
      </w:r>
      <w:r w:rsidR="00D16344" w:rsidRPr="000325BC">
        <w:rPr>
          <w:bCs/>
          <w:sz w:val="22"/>
          <w:szCs w:val="22"/>
        </w:rPr>
        <w:t xml:space="preserve"> </w:t>
      </w:r>
      <w:r w:rsidR="00D017AC" w:rsidRPr="000325BC">
        <w:rPr>
          <w:bCs/>
          <w:sz w:val="22"/>
          <w:szCs w:val="22"/>
        </w:rPr>
        <w:t>academic support and counseling centers</w:t>
      </w:r>
      <w:r w:rsidR="00D16344" w:rsidRPr="000325BC">
        <w:rPr>
          <w:bCs/>
          <w:sz w:val="22"/>
          <w:szCs w:val="22"/>
        </w:rPr>
        <w:t xml:space="preserve">; </w:t>
      </w:r>
      <w:r w:rsidR="00D017AC" w:rsidRPr="000325BC">
        <w:rPr>
          <w:bCs/>
          <w:sz w:val="22"/>
          <w:szCs w:val="22"/>
        </w:rPr>
        <w:t>programs such as TRIO, PUENTE, A</w:t>
      </w:r>
      <w:r w:rsidR="00D017AC" w:rsidRPr="000325BC">
        <w:rPr>
          <w:bCs/>
          <w:sz w:val="22"/>
          <w:szCs w:val="22"/>
          <w:vertAlign w:val="superscript"/>
        </w:rPr>
        <w:t>2</w:t>
      </w:r>
      <w:r w:rsidR="00D017AC" w:rsidRPr="000325BC">
        <w:rPr>
          <w:bCs/>
          <w:sz w:val="22"/>
          <w:szCs w:val="22"/>
        </w:rPr>
        <w:t>M</w:t>
      </w:r>
      <w:r w:rsidR="009F5763" w:rsidRPr="000325BC">
        <w:rPr>
          <w:bCs/>
          <w:sz w:val="22"/>
          <w:szCs w:val="22"/>
        </w:rPr>
        <w:t>END</w:t>
      </w:r>
      <w:r w:rsidR="00D017AC" w:rsidRPr="000325BC">
        <w:rPr>
          <w:bCs/>
          <w:sz w:val="22"/>
          <w:szCs w:val="22"/>
        </w:rPr>
        <w:t xml:space="preserve">, and </w:t>
      </w:r>
      <w:proofErr w:type="spellStart"/>
      <w:r w:rsidR="00D017AC" w:rsidRPr="000325BC">
        <w:rPr>
          <w:bCs/>
          <w:sz w:val="22"/>
          <w:szCs w:val="22"/>
        </w:rPr>
        <w:t>Umoja</w:t>
      </w:r>
      <w:proofErr w:type="spellEnd"/>
      <w:r w:rsidR="00D16344" w:rsidRPr="000325BC">
        <w:rPr>
          <w:bCs/>
          <w:sz w:val="22"/>
          <w:szCs w:val="22"/>
        </w:rPr>
        <w:t>; and</w:t>
      </w:r>
      <w:r w:rsidR="00B04CC0" w:rsidRPr="000325BC">
        <w:rPr>
          <w:bCs/>
          <w:sz w:val="22"/>
          <w:szCs w:val="22"/>
        </w:rPr>
        <w:t xml:space="preserve"> college planning efforts or projects </w:t>
      </w:r>
      <w:r w:rsidR="00D017AC" w:rsidRPr="000325BC">
        <w:rPr>
          <w:bCs/>
          <w:sz w:val="22"/>
          <w:szCs w:val="22"/>
        </w:rPr>
        <w:t>focused on providing student-centered support such as learning communities</w:t>
      </w:r>
      <w:r w:rsidR="00CE0097" w:rsidRPr="000325BC">
        <w:rPr>
          <w:bCs/>
          <w:sz w:val="22"/>
          <w:szCs w:val="22"/>
        </w:rPr>
        <w:t xml:space="preserve"> or tutoring services</w:t>
      </w:r>
      <w:r w:rsidR="00D017AC" w:rsidRPr="000325BC">
        <w:rPr>
          <w:bCs/>
          <w:sz w:val="22"/>
          <w:szCs w:val="22"/>
        </w:rPr>
        <w:t>. Scalable projects and programs are of great interest.</w:t>
      </w:r>
      <w:r w:rsidR="00D017AC">
        <w:rPr>
          <w:bCs/>
          <w:sz w:val="22"/>
          <w:szCs w:val="22"/>
        </w:rPr>
        <w:t xml:space="preserve"> </w:t>
      </w:r>
    </w:p>
    <w:p w14:paraId="51A00C1F" w14:textId="3B051A8D" w:rsidR="00C961EB" w:rsidRDefault="00C961EB" w:rsidP="00E56604">
      <w:pPr>
        <w:ind w:right="450"/>
        <w:rPr>
          <w:bCs/>
          <w:sz w:val="22"/>
          <w:szCs w:val="22"/>
        </w:rPr>
      </w:pPr>
    </w:p>
    <w:p w14:paraId="6992BAC8" w14:textId="77777777" w:rsidR="00E56604" w:rsidRPr="00BB6337" w:rsidRDefault="00E56604" w:rsidP="00E56604">
      <w:pPr>
        <w:ind w:right="450"/>
        <w:rPr>
          <w:bCs/>
          <w:sz w:val="22"/>
          <w:szCs w:val="22"/>
          <w:u w:val="single"/>
        </w:rPr>
      </w:pPr>
      <w:r w:rsidRPr="00BB6337">
        <w:rPr>
          <w:bCs/>
          <w:sz w:val="22"/>
          <w:szCs w:val="22"/>
          <w:u w:val="single"/>
        </w:rPr>
        <w:t>Basic Information</w:t>
      </w:r>
    </w:p>
    <w:p w14:paraId="3D147AE6" w14:textId="0BE0ADFB" w:rsidR="00E56604" w:rsidRPr="000A5FD1" w:rsidRDefault="00CE0097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The 2019-2020</w:t>
      </w:r>
      <w:r w:rsidR="00E56604">
        <w:rPr>
          <w:bCs/>
          <w:sz w:val="22"/>
          <w:szCs w:val="22"/>
        </w:rPr>
        <w:t xml:space="preserve"> award is focused </w:t>
      </w:r>
      <w:r w:rsidR="00E56604" w:rsidRPr="000A5FD1">
        <w:rPr>
          <w:bCs/>
          <w:sz w:val="22"/>
          <w:szCs w:val="22"/>
        </w:rPr>
        <w:t xml:space="preserve">on </w:t>
      </w:r>
      <w:r>
        <w:rPr>
          <w:bCs/>
          <w:i/>
          <w:sz w:val="22"/>
          <w:szCs w:val="22"/>
        </w:rPr>
        <w:t xml:space="preserve">Student Support Services </w:t>
      </w:r>
    </w:p>
    <w:p w14:paraId="55BBA724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 xml:space="preserve">Each college may nominate </w:t>
      </w:r>
      <w:r w:rsidRPr="008D2688">
        <w:rPr>
          <w:bCs/>
          <w:sz w:val="22"/>
          <w:szCs w:val="22"/>
          <w:u w:val="single"/>
        </w:rPr>
        <w:t>one</w:t>
      </w:r>
      <w:r w:rsidRPr="008D2688">
        <w:rPr>
          <w:bCs/>
          <w:sz w:val="22"/>
          <w:szCs w:val="22"/>
        </w:rPr>
        <w:t xml:space="preserve"> program</w:t>
      </w:r>
      <w:r>
        <w:rPr>
          <w:bCs/>
          <w:sz w:val="22"/>
          <w:szCs w:val="22"/>
        </w:rPr>
        <w:t>.</w:t>
      </w:r>
    </w:p>
    <w:p w14:paraId="1B07E4E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Up to two California community college programs will receive cash awards of $4,000</w:t>
      </w:r>
    </w:p>
    <w:p w14:paraId="18E516B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D4D48">
        <w:rPr>
          <w:bCs/>
          <w:sz w:val="22"/>
          <w:szCs w:val="22"/>
        </w:rPr>
        <w:t xml:space="preserve">p to four </w:t>
      </w:r>
      <w:r>
        <w:rPr>
          <w:bCs/>
          <w:sz w:val="22"/>
          <w:szCs w:val="22"/>
        </w:rPr>
        <w:t xml:space="preserve">California community college </w:t>
      </w:r>
      <w:r w:rsidRPr="00FD4D48">
        <w:rPr>
          <w:bCs/>
          <w:sz w:val="22"/>
          <w:szCs w:val="22"/>
        </w:rPr>
        <w:t xml:space="preserve">programs will receive honorable mention plaques. </w:t>
      </w:r>
    </w:p>
    <w:p w14:paraId="27A4FEB7" w14:textId="26F831DB" w:rsidR="00E56604" w:rsidRPr="00FD4D48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/>
          <w:bCs/>
          <w:sz w:val="22"/>
          <w:szCs w:val="22"/>
        </w:rPr>
        <w:t xml:space="preserve">Completed applications must be received in the Academic Senate Office by </w:t>
      </w:r>
      <w:r w:rsidRPr="008D2688">
        <w:rPr>
          <w:b/>
          <w:sz w:val="22"/>
          <w:szCs w:val="22"/>
        </w:rPr>
        <w:t xml:space="preserve">5:00 p.m. on </w:t>
      </w:r>
      <w:r w:rsidR="00B82856">
        <w:rPr>
          <w:b/>
          <w:sz w:val="22"/>
          <w:szCs w:val="22"/>
        </w:rPr>
        <w:t xml:space="preserve">November </w:t>
      </w:r>
      <w:r w:rsidR="00CE0097">
        <w:rPr>
          <w:b/>
          <w:sz w:val="22"/>
          <w:szCs w:val="22"/>
        </w:rPr>
        <w:t xml:space="preserve">4, 2019. </w:t>
      </w:r>
      <w:r>
        <w:rPr>
          <w:b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 xml:space="preserve">  </w:t>
      </w:r>
    </w:p>
    <w:p w14:paraId="7FCC679A" w14:textId="6AA001E3" w:rsidR="00E56604" w:rsidRPr="008D2688" w:rsidRDefault="00E56604" w:rsidP="00E56604">
      <w:pPr>
        <w:ind w:right="720"/>
        <w:rPr>
          <w:bCs/>
          <w:sz w:val="22"/>
          <w:szCs w:val="22"/>
        </w:rPr>
      </w:pPr>
    </w:p>
    <w:p w14:paraId="5FAF76D4" w14:textId="24FE5FCA" w:rsidR="00E56604" w:rsidRDefault="00E56604" w:rsidP="00E56604">
      <w:pPr>
        <w:ind w:right="72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Please submit one original and one copy of your entire application via email or mail.  FAX applications will not be accepted. Submit mail applications to</w:t>
      </w:r>
      <w:r>
        <w:rPr>
          <w:bCs/>
          <w:sz w:val="22"/>
          <w:szCs w:val="22"/>
        </w:rPr>
        <w:t>:</w:t>
      </w:r>
      <w:r w:rsidR="00CE0097">
        <w:rPr>
          <w:bCs/>
          <w:sz w:val="22"/>
          <w:szCs w:val="22"/>
        </w:rPr>
        <w:t xml:space="preserve"> One Capitol Mall, Suite 23</w:t>
      </w:r>
      <w:r w:rsidRPr="008D2688">
        <w:rPr>
          <w:bCs/>
          <w:sz w:val="22"/>
          <w:szCs w:val="22"/>
        </w:rPr>
        <w:t xml:space="preserve">0, Sacramento, CA 95814. Scanned applications must have the appropriate signatures and be emailed to </w:t>
      </w:r>
      <w:hyperlink r:id="rId9" w:history="1">
        <w:r w:rsidRPr="008D2688">
          <w:rPr>
            <w:bCs/>
            <w:color w:val="0000FF"/>
            <w:sz w:val="22"/>
            <w:szCs w:val="22"/>
            <w:u w:val="single"/>
          </w:rPr>
          <w:t>awards@asccc.org</w:t>
        </w:r>
      </w:hyperlink>
      <w:r w:rsidRPr="008D2688">
        <w:rPr>
          <w:bCs/>
          <w:sz w:val="22"/>
          <w:szCs w:val="22"/>
        </w:rPr>
        <w:t>.  The Senate Office will notify you</w:t>
      </w:r>
      <w:r>
        <w:rPr>
          <w:bCs/>
          <w:sz w:val="22"/>
          <w:szCs w:val="22"/>
        </w:rPr>
        <w:t xml:space="preserve"> via email</w:t>
      </w:r>
      <w:r w:rsidRPr="008D2688">
        <w:rPr>
          <w:bCs/>
          <w:sz w:val="22"/>
          <w:szCs w:val="22"/>
        </w:rPr>
        <w:t xml:space="preserve"> that your application has been received.  </w:t>
      </w:r>
    </w:p>
    <w:p w14:paraId="36014157" w14:textId="77777777" w:rsidR="00CE0097" w:rsidRDefault="00CE0097" w:rsidP="00E56604">
      <w:pPr>
        <w:ind w:right="720"/>
        <w:rPr>
          <w:bCs/>
          <w:sz w:val="22"/>
          <w:szCs w:val="22"/>
        </w:rPr>
      </w:pPr>
    </w:p>
    <w:p w14:paraId="15236857" w14:textId="78904D4A" w:rsidR="00CE0097" w:rsidRPr="00BB6337" w:rsidRDefault="00CE0097" w:rsidP="00CE0097">
      <w:pPr>
        <w:ind w:right="27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Exemplary Program Award recipients are selected from through</w:t>
      </w:r>
      <w:r>
        <w:rPr>
          <w:bCs/>
          <w:sz w:val="22"/>
          <w:szCs w:val="22"/>
        </w:rPr>
        <w:t>out the state</w:t>
      </w:r>
      <w:r w:rsidRPr="008D2688">
        <w:rPr>
          <w:bCs/>
          <w:sz w:val="22"/>
          <w:szCs w:val="22"/>
        </w:rPr>
        <w:t xml:space="preserve"> with no more than two from any </w:t>
      </w:r>
      <w:r>
        <w:rPr>
          <w:bCs/>
          <w:sz w:val="22"/>
          <w:szCs w:val="22"/>
        </w:rPr>
        <w:t>single</w:t>
      </w:r>
      <w:r w:rsidRPr="008D2688">
        <w:rPr>
          <w:bCs/>
          <w:sz w:val="22"/>
          <w:szCs w:val="22"/>
        </w:rPr>
        <w:t xml:space="preserve"> Academic Senate area. 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Recipients will be notified when the s</w:t>
      </w:r>
      <w:r>
        <w:rPr>
          <w:bCs/>
          <w:sz w:val="22"/>
          <w:szCs w:val="22"/>
        </w:rPr>
        <w:t xml:space="preserve">election process is completed. </w:t>
      </w:r>
      <w:r w:rsidRPr="008D2688">
        <w:rPr>
          <w:bCs/>
          <w:sz w:val="22"/>
          <w:szCs w:val="22"/>
        </w:rPr>
        <w:t>A minimum of three nominations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statewide must be received for the selection process to proceed. The selection committee will complete the re</w:t>
      </w:r>
      <w:r>
        <w:rPr>
          <w:bCs/>
          <w:sz w:val="22"/>
          <w:szCs w:val="22"/>
        </w:rPr>
        <w:t>view process by early December.</w:t>
      </w:r>
      <w:r w:rsidRPr="008D2688">
        <w:rPr>
          <w:bCs/>
          <w:sz w:val="22"/>
          <w:szCs w:val="22"/>
        </w:rPr>
        <w:t xml:space="preserve"> Winners </w:t>
      </w:r>
      <w:r>
        <w:rPr>
          <w:bCs/>
          <w:sz w:val="22"/>
          <w:szCs w:val="22"/>
        </w:rPr>
        <w:t xml:space="preserve">of this prestigious award </w:t>
      </w:r>
      <w:r w:rsidRPr="008D2688">
        <w:rPr>
          <w:bCs/>
          <w:sz w:val="22"/>
          <w:szCs w:val="22"/>
        </w:rPr>
        <w:t xml:space="preserve">will be honored at the </w:t>
      </w:r>
      <w:r>
        <w:rPr>
          <w:bCs/>
          <w:sz w:val="22"/>
          <w:szCs w:val="22"/>
        </w:rPr>
        <w:t>January 2020</w:t>
      </w:r>
      <w:r w:rsidRPr="008D2688">
        <w:rPr>
          <w:bCs/>
          <w:sz w:val="22"/>
          <w:szCs w:val="22"/>
        </w:rPr>
        <w:t xml:space="preserve"> Board of Governors' meeting.  </w:t>
      </w:r>
      <w:r w:rsidRPr="008D2688">
        <w:rPr>
          <w:sz w:val="22"/>
          <w:szCs w:val="22"/>
        </w:rPr>
        <w:t xml:space="preserve">Please contact the Academic Senate Office with any questions. </w:t>
      </w:r>
    </w:p>
    <w:p w14:paraId="0A669379" w14:textId="77777777" w:rsidR="00CE0097" w:rsidRPr="008D2688" w:rsidRDefault="00CE0097" w:rsidP="00CE0097">
      <w:pPr>
        <w:ind w:right="720"/>
        <w:rPr>
          <w:sz w:val="22"/>
          <w:szCs w:val="22"/>
        </w:rPr>
      </w:pPr>
    </w:p>
    <w:p w14:paraId="4EB4550F" w14:textId="7E5C30D5" w:rsidR="00CE0097" w:rsidRDefault="00CE0097" w:rsidP="00CE0097">
      <w:pPr>
        <w:ind w:right="720"/>
        <w:rPr>
          <w:sz w:val="22"/>
          <w:szCs w:val="22"/>
        </w:rPr>
        <w:sectPr w:rsidR="00CE0097" w:rsidSect="00CE0097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  <w:r>
        <w:rPr>
          <w:sz w:val="22"/>
          <w:szCs w:val="22"/>
        </w:rPr>
        <w:t xml:space="preserve"> </w:t>
      </w:r>
    </w:p>
    <w:p w14:paraId="309E8597" w14:textId="77777777" w:rsidR="00CE0097" w:rsidRDefault="00CE0097" w:rsidP="00CE0097">
      <w:pPr>
        <w:spacing w:line="214" w:lineRule="auto"/>
        <w:rPr>
          <w:bCs/>
          <w:sz w:val="22"/>
          <w:szCs w:val="22"/>
        </w:rPr>
      </w:pPr>
      <w:r w:rsidRPr="00CE0097">
        <w:rPr>
          <w:bCs/>
          <w:sz w:val="22"/>
          <w:szCs w:val="22"/>
        </w:rPr>
        <w:lastRenderedPageBreak/>
        <w:t>Exemplary Program Award</w:t>
      </w:r>
    </w:p>
    <w:p w14:paraId="4C77BC1C" w14:textId="2E05C38B" w:rsidR="00CE0097" w:rsidRDefault="00CE0097" w:rsidP="00CE0097">
      <w:pPr>
        <w:spacing w:line="21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Page Two</w:t>
      </w:r>
    </w:p>
    <w:p w14:paraId="287866A0" w14:textId="22B68B0C" w:rsidR="00CE0097" w:rsidRDefault="00CE0097" w:rsidP="00CE0097">
      <w:pPr>
        <w:spacing w:line="21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October 1, 2019</w:t>
      </w:r>
    </w:p>
    <w:p w14:paraId="2E2B86E9" w14:textId="7880F718" w:rsidR="00CE0097" w:rsidRDefault="006C6FED" w:rsidP="00CE0097">
      <w:pPr>
        <w:spacing w:line="214" w:lineRule="auto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5C5DFF" wp14:editId="6EAF4125">
            <wp:simplePos x="0" y="0"/>
            <wp:positionH relativeFrom="column">
              <wp:posOffset>-359972</wp:posOffset>
            </wp:positionH>
            <wp:positionV relativeFrom="paragraph">
              <wp:posOffset>216016</wp:posOffset>
            </wp:positionV>
            <wp:extent cx="1879600" cy="10099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1398">
                      <a:off x="0" y="0"/>
                      <a:ext cx="1879600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6B19" w14:textId="6DBCA132" w:rsidR="00CE0097" w:rsidRPr="00CE0097" w:rsidRDefault="00CE0097" w:rsidP="00CE0097">
      <w:pPr>
        <w:spacing w:line="214" w:lineRule="auto"/>
        <w:rPr>
          <w:bCs/>
          <w:sz w:val="22"/>
          <w:szCs w:val="22"/>
        </w:rPr>
      </w:pPr>
    </w:p>
    <w:p w14:paraId="414AC39D" w14:textId="35EAD3DF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3BCEED60" w14:textId="27DB284F" w:rsidR="00CE0097" w:rsidRDefault="00CE0097" w:rsidP="00CE0097">
      <w:pPr>
        <w:rPr>
          <w:sz w:val="22"/>
          <w:szCs w:val="22"/>
        </w:rPr>
      </w:pPr>
    </w:p>
    <w:p w14:paraId="0C755365" w14:textId="54305339" w:rsidR="00CE0097" w:rsidRDefault="00CE0097" w:rsidP="00CE0097">
      <w:pPr>
        <w:rPr>
          <w:sz w:val="22"/>
          <w:szCs w:val="22"/>
        </w:rPr>
      </w:pPr>
    </w:p>
    <w:p w14:paraId="6A3F21F2" w14:textId="77777777" w:rsidR="00CE0097" w:rsidRDefault="00CE0097" w:rsidP="00CE0097">
      <w:pPr>
        <w:rPr>
          <w:sz w:val="22"/>
          <w:szCs w:val="22"/>
        </w:rPr>
      </w:pPr>
    </w:p>
    <w:p w14:paraId="130629E4" w14:textId="6E81D5A9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>Krystinne Mica</w:t>
      </w:r>
    </w:p>
    <w:p w14:paraId="05EE9954" w14:textId="791C788B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14:paraId="5449735E" w14:textId="77777777" w:rsidR="00CE0097" w:rsidRDefault="00CE0097" w:rsidP="00CE0097">
      <w:pPr>
        <w:rPr>
          <w:sz w:val="22"/>
          <w:szCs w:val="22"/>
        </w:rPr>
      </w:pPr>
    </w:p>
    <w:p w14:paraId="20DBB531" w14:textId="51604D64" w:rsidR="00CE0097" w:rsidRDefault="00CE0097" w:rsidP="00CE0097">
      <w:pPr>
        <w:rPr>
          <w:sz w:val="22"/>
          <w:szCs w:val="22"/>
        </w:rPr>
      </w:pPr>
      <w:r>
        <w:rPr>
          <w:sz w:val="22"/>
          <w:szCs w:val="22"/>
        </w:rPr>
        <w:t xml:space="preserve">Enclosures (4) </w:t>
      </w:r>
    </w:p>
    <w:p w14:paraId="5858AAC2" w14:textId="77777777" w:rsidR="00CE0097" w:rsidRPr="00CE0097" w:rsidRDefault="00CE0097" w:rsidP="00CE0097">
      <w:pPr>
        <w:rPr>
          <w:rFonts w:eastAsia="Calibri"/>
          <w:sz w:val="22"/>
          <w:szCs w:val="22"/>
        </w:rPr>
        <w:sectPr w:rsidR="00CE0097" w:rsidRPr="00CE0097" w:rsidSect="00CE0097"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440" w:left="1440" w:header="720" w:footer="446" w:gutter="0"/>
          <w:cols w:space="188" w:equalWidth="0">
            <w:col w:w="10080" w:space="188"/>
          </w:cols>
          <w:docGrid w:linePitch="272"/>
        </w:sectPr>
      </w:pPr>
    </w:p>
    <w:p w14:paraId="654149AF" w14:textId="7B9159C6" w:rsidR="001D613E" w:rsidRPr="007D586E" w:rsidRDefault="001D613E" w:rsidP="00CE0097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50E2" w14:textId="77777777" w:rsidR="00EF751F" w:rsidRDefault="00EF751F">
      <w:r>
        <w:separator/>
      </w:r>
    </w:p>
  </w:endnote>
  <w:endnote w:type="continuationSeparator" w:id="0">
    <w:p w14:paraId="4C112359" w14:textId="77777777" w:rsidR="00EF751F" w:rsidRDefault="00E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F5D" w14:textId="77777777" w:rsidR="00CE0097" w:rsidRDefault="00CE0097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16ED11D" w14:textId="77777777" w:rsidR="00CE0097" w:rsidRDefault="00CE0097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235928F8" w14:textId="77777777" w:rsidR="00CE0097" w:rsidRPr="003D5B73" w:rsidRDefault="00EF751F" w:rsidP="003D5B73">
    <w:pPr>
      <w:spacing w:line="0" w:lineRule="atLeast"/>
      <w:jc w:val="center"/>
      <w:rPr>
        <w:sz w:val="16"/>
      </w:rPr>
    </w:pPr>
    <w:hyperlink r:id="rId1" w:history="1">
      <w:r w:rsidR="00CE0097" w:rsidRPr="00C05AE8">
        <w:rPr>
          <w:rStyle w:val="Hyperlink"/>
          <w:sz w:val="16"/>
        </w:rPr>
        <w:t>info@asccc.org</w:t>
      </w:r>
    </w:hyperlink>
    <w:r w:rsidR="00CE0097">
      <w:rPr>
        <w:sz w:val="16"/>
      </w:rPr>
      <w:t xml:space="preserve">  </w:t>
    </w:r>
    <w:r w:rsidR="00CE0097">
      <w:rPr>
        <w:sz w:val="16"/>
      </w:rPr>
      <w:sym w:font="Symbol" w:char="F0B7"/>
    </w:r>
    <w:r w:rsidR="00CE0097">
      <w:rPr>
        <w:sz w:val="16"/>
      </w:rPr>
      <w:t xml:space="preserve">  </w:t>
    </w:r>
    <w:hyperlink r:id="rId2" w:history="1">
      <w:r w:rsidR="00CE0097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0141" w14:textId="77777777" w:rsidR="00CE0097" w:rsidRDefault="00CE0097" w:rsidP="00400C2F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230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29B5F26E" w14:textId="77777777" w:rsidR="00CE0097" w:rsidRDefault="00CE0097" w:rsidP="00400C2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4223B4E" w14:textId="77777777" w:rsidR="00CE0097" w:rsidRDefault="00EF751F" w:rsidP="00400C2F">
    <w:pPr>
      <w:spacing w:line="0" w:lineRule="atLeast"/>
      <w:jc w:val="center"/>
      <w:rPr>
        <w:sz w:val="16"/>
      </w:rPr>
    </w:pPr>
    <w:hyperlink r:id="rId1" w:history="1">
      <w:r w:rsidR="00CE0097" w:rsidRPr="00C05AE8">
        <w:rPr>
          <w:rStyle w:val="Hyperlink"/>
          <w:sz w:val="16"/>
        </w:rPr>
        <w:t>info@asccc.org</w:t>
      </w:r>
    </w:hyperlink>
    <w:r w:rsidR="00CE0097">
      <w:rPr>
        <w:sz w:val="16"/>
      </w:rPr>
      <w:t xml:space="preserve">  </w:t>
    </w:r>
    <w:r w:rsidR="00CE0097">
      <w:rPr>
        <w:sz w:val="16"/>
      </w:rPr>
      <w:sym w:font="Symbol" w:char="F0B7"/>
    </w:r>
    <w:r w:rsidR="00CE0097">
      <w:rPr>
        <w:sz w:val="16"/>
      </w:rPr>
      <w:t xml:space="preserve">  </w:t>
    </w:r>
    <w:hyperlink r:id="rId2" w:history="1">
      <w:r w:rsidR="00CE0097" w:rsidRPr="00575FA9">
        <w:rPr>
          <w:rStyle w:val="Hyperlink"/>
          <w:sz w:val="16"/>
        </w:rPr>
        <w:t>www.asccc.org</w:t>
      </w:r>
    </w:hyperlink>
    <w:r w:rsidR="00CE0097">
      <w:rPr>
        <w:sz w:val="16"/>
      </w:rPr>
      <w:t xml:space="preserve"> </w:t>
    </w:r>
  </w:p>
  <w:p w14:paraId="7049F4E7" w14:textId="77777777" w:rsidR="00CE0097" w:rsidRPr="00400C2F" w:rsidRDefault="00CE0097" w:rsidP="00400C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EF751F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EF751F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6F02" w14:textId="77777777" w:rsidR="00EF751F" w:rsidRDefault="00EF751F">
      <w:r>
        <w:separator/>
      </w:r>
    </w:p>
  </w:footnote>
  <w:footnote w:type="continuationSeparator" w:id="0">
    <w:p w14:paraId="61636AA9" w14:textId="77777777" w:rsidR="00EF751F" w:rsidRDefault="00EF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00DD"/>
    <w:multiLevelType w:val="hybridMultilevel"/>
    <w:tmpl w:val="893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5BC"/>
    <w:rsid w:val="00032CAF"/>
    <w:rsid w:val="00040345"/>
    <w:rsid w:val="00041DC1"/>
    <w:rsid w:val="00050A63"/>
    <w:rsid w:val="00067D5E"/>
    <w:rsid w:val="00077D17"/>
    <w:rsid w:val="000A5FD1"/>
    <w:rsid w:val="000B74FC"/>
    <w:rsid w:val="000C317F"/>
    <w:rsid w:val="000C6150"/>
    <w:rsid w:val="000D4CAE"/>
    <w:rsid w:val="000E59C5"/>
    <w:rsid w:val="00101273"/>
    <w:rsid w:val="001260C6"/>
    <w:rsid w:val="00133AB0"/>
    <w:rsid w:val="00146B3E"/>
    <w:rsid w:val="00157540"/>
    <w:rsid w:val="00167C27"/>
    <w:rsid w:val="001765AA"/>
    <w:rsid w:val="00183F18"/>
    <w:rsid w:val="00184C9A"/>
    <w:rsid w:val="001D613E"/>
    <w:rsid w:val="001E3A2C"/>
    <w:rsid w:val="002071BF"/>
    <w:rsid w:val="002076E4"/>
    <w:rsid w:val="00241E28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8660D"/>
    <w:rsid w:val="003906C3"/>
    <w:rsid w:val="003A486A"/>
    <w:rsid w:val="003C5360"/>
    <w:rsid w:val="003D5B73"/>
    <w:rsid w:val="003F2661"/>
    <w:rsid w:val="00400C2F"/>
    <w:rsid w:val="004229CE"/>
    <w:rsid w:val="00477A55"/>
    <w:rsid w:val="00496554"/>
    <w:rsid w:val="004B0C05"/>
    <w:rsid w:val="004C05B4"/>
    <w:rsid w:val="004C283C"/>
    <w:rsid w:val="004C4C3E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C1E61"/>
    <w:rsid w:val="005D6088"/>
    <w:rsid w:val="005E1629"/>
    <w:rsid w:val="005E58F6"/>
    <w:rsid w:val="005E59F8"/>
    <w:rsid w:val="00620ACE"/>
    <w:rsid w:val="0062165C"/>
    <w:rsid w:val="0063714A"/>
    <w:rsid w:val="006603DD"/>
    <w:rsid w:val="0068528D"/>
    <w:rsid w:val="00696A78"/>
    <w:rsid w:val="00697399"/>
    <w:rsid w:val="006A076A"/>
    <w:rsid w:val="006B097C"/>
    <w:rsid w:val="006C4DF9"/>
    <w:rsid w:val="006C50FF"/>
    <w:rsid w:val="006C6FED"/>
    <w:rsid w:val="006C7178"/>
    <w:rsid w:val="006F1AFE"/>
    <w:rsid w:val="0071715C"/>
    <w:rsid w:val="00720882"/>
    <w:rsid w:val="00720F34"/>
    <w:rsid w:val="0072679F"/>
    <w:rsid w:val="007327CB"/>
    <w:rsid w:val="0073479C"/>
    <w:rsid w:val="00757029"/>
    <w:rsid w:val="00766B97"/>
    <w:rsid w:val="00771830"/>
    <w:rsid w:val="00777FB2"/>
    <w:rsid w:val="00793AA4"/>
    <w:rsid w:val="00793CC6"/>
    <w:rsid w:val="007B13C1"/>
    <w:rsid w:val="007D284F"/>
    <w:rsid w:val="007D586E"/>
    <w:rsid w:val="00805426"/>
    <w:rsid w:val="00817A5F"/>
    <w:rsid w:val="00823613"/>
    <w:rsid w:val="0084331C"/>
    <w:rsid w:val="008514A1"/>
    <w:rsid w:val="00857BCC"/>
    <w:rsid w:val="008B1DDF"/>
    <w:rsid w:val="008F7CF2"/>
    <w:rsid w:val="009024BD"/>
    <w:rsid w:val="009116E4"/>
    <w:rsid w:val="009428DB"/>
    <w:rsid w:val="00954982"/>
    <w:rsid w:val="00971C0F"/>
    <w:rsid w:val="0099088D"/>
    <w:rsid w:val="009A5259"/>
    <w:rsid w:val="009F5763"/>
    <w:rsid w:val="00A87F73"/>
    <w:rsid w:val="00AA4B89"/>
    <w:rsid w:val="00AB4B54"/>
    <w:rsid w:val="00AF47B0"/>
    <w:rsid w:val="00B03533"/>
    <w:rsid w:val="00B04CC0"/>
    <w:rsid w:val="00B14BBC"/>
    <w:rsid w:val="00B178DA"/>
    <w:rsid w:val="00B212C8"/>
    <w:rsid w:val="00B607F0"/>
    <w:rsid w:val="00B82856"/>
    <w:rsid w:val="00B95FC5"/>
    <w:rsid w:val="00BB188E"/>
    <w:rsid w:val="00BC085F"/>
    <w:rsid w:val="00BD176C"/>
    <w:rsid w:val="00BD5C1F"/>
    <w:rsid w:val="00BE455F"/>
    <w:rsid w:val="00C021A9"/>
    <w:rsid w:val="00C20932"/>
    <w:rsid w:val="00C349F9"/>
    <w:rsid w:val="00C452A7"/>
    <w:rsid w:val="00C4658C"/>
    <w:rsid w:val="00C51337"/>
    <w:rsid w:val="00C801F6"/>
    <w:rsid w:val="00C961EB"/>
    <w:rsid w:val="00C97C67"/>
    <w:rsid w:val="00CA274A"/>
    <w:rsid w:val="00CB0468"/>
    <w:rsid w:val="00CD1FCF"/>
    <w:rsid w:val="00CD7EA5"/>
    <w:rsid w:val="00CE0097"/>
    <w:rsid w:val="00D00E6B"/>
    <w:rsid w:val="00D017AC"/>
    <w:rsid w:val="00D033FD"/>
    <w:rsid w:val="00D16344"/>
    <w:rsid w:val="00D411D3"/>
    <w:rsid w:val="00D46D51"/>
    <w:rsid w:val="00D56BDC"/>
    <w:rsid w:val="00D63453"/>
    <w:rsid w:val="00D63C13"/>
    <w:rsid w:val="00D66DCB"/>
    <w:rsid w:val="00D75F9A"/>
    <w:rsid w:val="00D833FF"/>
    <w:rsid w:val="00D87FDF"/>
    <w:rsid w:val="00DB5C10"/>
    <w:rsid w:val="00E05C17"/>
    <w:rsid w:val="00E26940"/>
    <w:rsid w:val="00E3043F"/>
    <w:rsid w:val="00E507F3"/>
    <w:rsid w:val="00E546BC"/>
    <w:rsid w:val="00E56604"/>
    <w:rsid w:val="00E74BC3"/>
    <w:rsid w:val="00E770D4"/>
    <w:rsid w:val="00E967A6"/>
    <w:rsid w:val="00EB7EEB"/>
    <w:rsid w:val="00EF751F"/>
    <w:rsid w:val="00F346F6"/>
    <w:rsid w:val="00F36B6B"/>
    <w:rsid w:val="00F43BE4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660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wards@asccc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3494-627C-8440-BCEE-9F6E640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krystinne@asccc.org</cp:lastModifiedBy>
  <cp:revision>3</cp:revision>
  <cp:lastPrinted>2018-05-16T22:18:00Z</cp:lastPrinted>
  <dcterms:created xsi:type="dcterms:W3CDTF">2019-10-03T23:13:00Z</dcterms:created>
  <dcterms:modified xsi:type="dcterms:W3CDTF">2019-10-04T03:34:00Z</dcterms:modified>
</cp:coreProperties>
</file>