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2DED4C2B" w:rsidR="0080639A" w:rsidRPr="0080639A" w:rsidRDefault="0095672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Relations with Local Senates Committee (RwLS) </w:t>
      </w:r>
    </w:p>
    <w:p w14:paraId="26B13B5C" w14:textId="61285A74" w:rsidR="0080639A" w:rsidRPr="00095961" w:rsidRDefault="0095672C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August 28, 2020 </w:t>
      </w:r>
    </w:p>
    <w:p w14:paraId="379AB168" w14:textId="6F0E0226" w:rsidR="008155B8" w:rsidRDefault="00F720A3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TIME</w:t>
      </w:r>
      <w:r w:rsidR="0095672C">
        <w:rPr>
          <w:rFonts w:asciiTheme="majorHAnsi" w:hAnsiTheme="majorHAnsi"/>
          <w:sz w:val="24"/>
        </w:rPr>
        <w:t xml:space="preserve"> 2-3pm</w:t>
      </w:r>
    </w:p>
    <w:p w14:paraId="3AC6A833" w14:textId="5E259843" w:rsidR="0095672C" w:rsidRDefault="0095672C" w:rsidP="0080639A">
      <w:pPr>
        <w:pStyle w:val="Title"/>
        <w:rPr>
          <w:rFonts w:asciiTheme="majorHAnsi" w:hAnsiTheme="majorHAnsi"/>
          <w:sz w:val="24"/>
        </w:rPr>
      </w:pPr>
    </w:p>
    <w:p w14:paraId="634F1DE6" w14:textId="2BDCFC84" w:rsidR="0013159D" w:rsidRPr="0013159D" w:rsidRDefault="0013159D" w:rsidP="0013159D">
      <w:pPr>
        <w:pStyle w:val="Title"/>
        <w:jc w:val="left"/>
        <w:rPr>
          <w:sz w:val="24"/>
          <w:szCs w:val="24"/>
        </w:rPr>
      </w:pPr>
      <w:r w:rsidRPr="0013159D">
        <w:rPr>
          <w:sz w:val="24"/>
          <w:szCs w:val="24"/>
        </w:rPr>
        <w:t>Attendees: Stephanie Curry</w:t>
      </w:r>
      <w:r>
        <w:rPr>
          <w:sz w:val="24"/>
          <w:szCs w:val="24"/>
        </w:rPr>
        <w:t>, Robert L. Stewart Jr., Howard Eskew, Katie Krolikowski, Hossna Sadat</w:t>
      </w:r>
      <w:r w:rsidR="00740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Ahadi, Cheri Fortin, Nickawanna Shaw </w:t>
      </w:r>
    </w:p>
    <w:p w14:paraId="7842A477" w14:textId="77777777" w:rsidR="00F720A3" w:rsidRDefault="00F720A3" w:rsidP="0095672C">
      <w:pPr>
        <w:pStyle w:val="Title"/>
        <w:ind w:left="0"/>
        <w:jc w:val="left"/>
        <w:rPr>
          <w:rFonts w:asciiTheme="majorHAnsi" w:hAnsiTheme="majorHAnsi"/>
          <w:sz w:val="24"/>
        </w:rPr>
      </w:pPr>
    </w:p>
    <w:p w14:paraId="6A2E796D" w14:textId="4E69365D" w:rsidR="00A4282D" w:rsidRPr="0080639A" w:rsidRDefault="00210AE8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ED70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D8E9395" w:rsidR="0080639A" w:rsidRDefault="0013159D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was called to order at </w:t>
      </w:r>
      <w:r w:rsidR="00F07DEE">
        <w:rPr>
          <w:rFonts w:asciiTheme="majorHAnsi" w:hAnsiTheme="majorHAnsi"/>
        </w:rPr>
        <w:t>2</w:t>
      </w:r>
      <w:r>
        <w:rPr>
          <w:rFonts w:asciiTheme="majorHAnsi" w:hAnsiTheme="majorHAnsi"/>
        </w:rPr>
        <w:t>:02</w:t>
      </w:r>
      <w:r w:rsidR="00953A71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 xml:space="preserve">pm 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0DD6DC8" w14:textId="14DDE122" w:rsidR="00B205A7" w:rsidRDefault="0095672C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Welcome and Introductions </w:t>
      </w:r>
    </w:p>
    <w:p w14:paraId="1F129305" w14:textId="44403329" w:rsidR="0013159D" w:rsidRDefault="0013159D" w:rsidP="0013159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introduced themselves and shared their local and ASCCC senate experience. 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22EE2125" w14:textId="6DF7922B" w:rsidR="0006307F" w:rsidRDefault="00BE5E4E" w:rsidP="0006307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</w:t>
      </w:r>
      <w:r w:rsidR="0095672C">
        <w:rPr>
          <w:rFonts w:asciiTheme="majorHAnsi" w:hAnsiTheme="majorHAnsi"/>
        </w:rPr>
        <w:t xml:space="preserve">Role of the Relations with Local Senates Committee (RwLS) </w:t>
      </w:r>
    </w:p>
    <w:p w14:paraId="4DAF7980" w14:textId="61C5A33C" w:rsidR="0013159D" w:rsidRPr="0006307F" w:rsidRDefault="0013159D" w:rsidP="0013159D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the RwLS charge from the ASCCC website. </w:t>
      </w:r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63A4AC8A" w14:textId="76141E98" w:rsidR="004B62D3" w:rsidRDefault="00EC2BE0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 Items </w:t>
      </w:r>
    </w:p>
    <w:p w14:paraId="7CE69956" w14:textId="2056392F" w:rsidR="0013159D" w:rsidRPr="004B62D3" w:rsidRDefault="0013159D" w:rsidP="0013159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discussed the resolutions, DEI recommendations and assignments assigned to the committee. The committee discussed prioritizing the DEI recommendations. </w:t>
      </w:r>
    </w:p>
    <w:p w14:paraId="46AC97DD" w14:textId="1080A0DD" w:rsidR="00D55C94" w:rsidRDefault="00D55C94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Assigned Resolutions </w:t>
      </w:r>
    </w:p>
    <w:p w14:paraId="31A7F50F" w14:textId="08AA1021" w:rsidR="007B0D6E" w:rsidRDefault="0039729B" w:rsidP="007B0D6E">
      <w:pPr>
        <w:numPr>
          <w:ilvl w:val="2"/>
          <w:numId w:val="7"/>
        </w:numPr>
        <w:rPr>
          <w:rFonts w:asciiTheme="majorHAnsi" w:hAnsiTheme="majorHAnsi"/>
        </w:rPr>
      </w:pPr>
      <w:hyperlink r:id="rId11" w:history="1">
        <w:r w:rsidR="007B0D6E" w:rsidRPr="00A35BFD">
          <w:rPr>
            <w:rStyle w:val="Hyperlink"/>
            <w:rFonts w:asciiTheme="majorHAnsi" w:hAnsiTheme="majorHAnsi"/>
          </w:rPr>
          <w:t>19.01 F18</w:t>
        </w:r>
      </w:hyperlink>
      <w:r w:rsidR="007B0D6E">
        <w:rPr>
          <w:rFonts w:asciiTheme="majorHAnsi" w:hAnsiTheme="majorHAnsi"/>
        </w:rPr>
        <w:t xml:space="preserve"> Encourage Dialog about Equivalency Practices </w:t>
      </w:r>
    </w:p>
    <w:p w14:paraId="6184637C" w14:textId="626D6365" w:rsidR="007B0D6E" w:rsidRDefault="0039729B" w:rsidP="007B0D6E">
      <w:pPr>
        <w:numPr>
          <w:ilvl w:val="2"/>
          <w:numId w:val="7"/>
        </w:numPr>
        <w:rPr>
          <w:rFonts w:asciiTheme="majorHAnsi" w:hAnsiTheme="majorHAnsi"/>
        </w:rPr>
      </w:pPr>
      <w:hyperlink r:id="rId12" w:history="1">
        <w:r w:rsidR="007B0D6E" w:rsidRPr="00A35BFD">
          <w:rPr>
            <w:rStyle w:val="Hyperlink"/>
            <w:rFonts w:asciiTheme="majorHAnsi" w:hAnsiTheme="majorHAnsi"/>
          </w:rPr>
          <w:t>19.02 S18</w:t>
        </w:r>
      </w:hyperlink>
      <w:r w:rsidR="007B0D6E">
        <w:rPr>
          <w:rFonts w:asciiTheme="majorHAnsi" w:hAnsiTheme="majorHAnsi"/>
        </w:rPr>
        <w:t xml:space="preserve"> Defining Collegiality in the Workplace </w:t>
      </w:r>
    </w:p>
    <w:p w14:paraId="1983CE12" w14:textId="26DC8D07" w:rsidR="007B0D6E" w:rsidRDefault="0039729B" w:rsidP="007B0D6E">
      <w:pPr>
        <w:numPr>
          <w:ilvl w:val="2"/>
          <w:numId w:val="7"/>
        </w:numPr>
        <w:rPr>
          <w:rFonts w:asciiTheme="majorHAnsi" w:hAnsiTheme="majorHAnsi"/>
        </w:rPr>
      </w:pPr>
      <w:hyperlink r:id="rId13" w:history="1">
        <w:r w:rsidR="007B0D6E" w:rsidRPr="00A35BFD">
          <w:rPr>
            <w:rStyle w:val="Hyperlink"/>
            <w:rFonts w:asciiTheme="majorHAnsi" w:hAnsiTheme="majorHAnsi"/>
          </w:rPr>
          <w:t xml:space="preserve">17.02 S18 </w:t>
        </w:r>
      </w:hyperlink>
      <w:r w:rsidR="007B0D6E">
        <w:rPr>
          <w:rFonts w:asciiTheme="majorHAnsi" w:hAnsiTheme="majorHAnsi"/>
        </w:rPr>
        <w:t xml:space="preserve"> Increase Participatory Governance on College Satellite Campuses </w:t>
      </w:r>
    </w:p>
    <w:p w14:paraId="6DD5272D" w14:textId="7F49F012" w:rsidR="00AC1080" w:rsidRDefault="0013159D" w:rsidP="00AC1080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Katie, Hossna and Stephanie will work on a Rostrum article to address the resolution</w:t>
      </w:r>
      <w:r w:rsidR="00953A71">
        <w:rPr>
          <w:rFonts w:asciiTheme="majorHAnsi" w:hAnsiTheme="majorHAnsi"/>
        </w:rPr>
        <w:t xml:space="preserve"> (later in fall or early spring)</w:t>
      </w:r>
      <w:r>
        <w:rPr>
          <w:rFonts w:asciiTheme="majorHAnsi" w:hAnsiTheme="majorHAnsi"/>
        </w:rPr>
        <w:t xml:space="preserve">. </w:t>
      </w:r>
    </w:p>
    <w:p w14:paraId="3EEED6A1" w14:textId="7B08DA8B" w:rsidR="004B62D3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Tasks</w:t>
      </w:r>
    </w:p>
    <w:p w14:paraId="1DB4FFF5" w14:textId="5A35295C" w:rsidR="0095672C" w:rsidRDefault="0039729B" w:rsidP="0095672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hyperlink r:id="rId14" w:history="1">
        <w:r w:rsidR="0095672C" w:rsidRPr="00BE5E4E">
          <w:rPr>
            <w:rStyle w:val="Hyperlink"/>
            <w:rFonts w:asciiTheme="majorHAnsi" w:hAnsiTheme="majorHAnsi"/>
          </w:rPr>
          <w:t>DEI</w:t>
        </w:r>
      </w:hyperlink>
      <w:r w:rsidR="0095672C">
        <w:rPr>
          <w:rFonts w:asciiTheme="majorHAnsi" w:hAnsiTheme="majorHAnsi"/>
        </w:rPr>
        <w:t xml:space="preserve"> Recommendations </w:t>
      </w:r>
    </w:p>
    <w:p w14:paraId="44808603" w14:textId="6003BF4B" w:rsidR="0013159D" w:rsidRPr="0013159D" w:rsidRDefault="0013159D" w:rsidP="0013159D">
      <w:pPr>
        <w:ind w:left="19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discussed the idea of reviewing </w:t>
      </w:r>
      <w:r w:rsidR="00F07DEE">
        <w:rPr>
          <w:rFonts w:asciiTheme="majorHAnsi" w:hAnsiTheme="majorHAnsi"/>
        </w:rPr>
        <w:t>an</w:t>
      </w:r>
      <w:r>
        <w:rPr>
          <w:rFonts w:asciiTheme="majorHAnsi" w:hAnsiTheme="majorHAnsi"/>
        </w:rPr>
        <w:t xml:space="preserve"> equity framework/rubric. At the next meeting we will look at proposed frameworks and the CCCCO </w:t>
      </w:r>
      <w:r w:rsidR="00AC1080">
        <w:rPr>
          <w:rFonts w:asciiTheme="majorHAnsi" w:hAnsiTheme="majorHAnsi"/>
        </w:rPr>
        <w:t>Equity Rubric. The Committee also discussed the need for agreed upon definitions and the possibility of using definitions and rubrics as part of the Workshops to address Goal 2 on PD workshops</w:t>
      </w:r>
      <w:r w:rsidR="00953A71">
        <w:rPr>
          <w:rFonts w:asciiTheme="majorHAnsi" w:hAnsiTheme="majorHAnsi"/>
        </w:rPr>
        <w:t>/Modules</w:t>
      </w:r>
      <w:r w:rsidR="00AC1080">
        <w:rPr>
          <w:rFonts w:asciiTheme="majorHAnsi" w:hAnsiTheme="majorHAnsi"/>
        </w:rPr>
        <w:t xml:space="preserve">. </w:t>
      </w:r>
    </w:p>
    <w:p w14:paraId="2F22D75E" w14:textId="310CEBAA" w:rsidR="00AD7C37" w:rsidRDefault="00AD7C37" w:rsidP="00AD7C37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 Culturally Responsive Faculty and staff (classified and Administrators) </w:t>
      </w:r>
      <w:r w:rsidR="00640D35">
        <w:rPr>
          <w:rFonts w:asciiTheme="majorHAnsi" w:hAnsiTheme="majorHAnsi"/>
        </w:rPr>
        <w:t xml:space="preserve">recruitment strategies </w:t>
      </w:r>
    </w:p>
    <w:p w14:paraId="57B99526" w14:textId="2652EA4A" w:rsidR="00640D35" w:rsidRDefault="00640D35" w:rsidP="00640D35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HR and ASCCC to establish first year support structures for employees </w:t>
      </w:r>
    </w:p>
    <w:p w14:paraId="1B104509" w14:textId="6DC32C32" w:rsidR="0013159D" w:rsidRDefault="00AC1080" w:rsidP="0013159D">
      <w:pPr>
        <w:ind w:left="3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contact EDAC Chair LaTonya Parker to see of we can coordinate activities. Committee suggested bringing in Union partners as some of the recommendations may need to be negotiated. </w:t>
      </w:r>
    </w:p>
    <w:p w14:paraId="73835C8B" w14:textId="11822D5F" w:rsidR="00AC1080" w:rsidRDefault="00AC1080" w:rsidP="0013159D">
      <w:pPr>
        <w:ind w:left="3240"/>
        <w:rPr>
          <w:rFonts w:asciiTheme="majorHAnsi" w:hAnsiTheme="majorHAnsi"/>
        </w:rPr>
      </w:pPr>
    </w:p>
    <w:p w14:paraId="4A134624" w14:textId="6076A87F" w:rsidR="00AC1080" w:rsidRDefault="00AC1080" w:rsidP="0013159D">
      <w:pPr>
        <w:ind w:left="3240"/>
        <w:rPr>
          <w:rFonts w:asciiTheme="majorHAnsi" w:hAnsiTheme="majorHAnsi"/>
        </w:rPr>
      </w:pPr>
    </w:p>
    <w:p w14:paraId="432AECAC" w14:textId="77777777" w:rsidR="00AC1080" w:rsidRPr="0013159D" w:rsidRDefault="00AC1080" w:rsidP="0013159D">
      <w:pPr>
        <w:ind w:left="3240"/>
        <w:rPr>
          <w:rFonts w:asciiTheme="majorHAnsi" w:hAnsiTheme="majorHAnsi"/>
        </w:rPr>
      </w:pPr>
    </w:p>
    <w:p w14:paraId="6C111819" w14:textId="560680BB" w:rsidR="00640D35" w:rsidRDefault="00640D35" w:rsidP="00640D35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Clearly outline required Minimum Qualifications for Positions </w:t>
      </w:r>
    </w:p>
    <w:p w14:paraId="52855715" w14:textId="12194044" w:rsidR="00AC1080" w:rsidRPr="00AC1080" w:rsidRDefault="00AC1080" w:rsidP="00AC1080">
      <w:pPr>
        <w:ind w:left="3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suggested the need for clarification and best practices on Eminence to be shared with senates and possible candidates </w:t>
      </w:r>
    </w:p>
    <w:p w14:paraId="4B544518" w14:textId="7D9A0CF3" w:rsidR="00640D35" w:rsidRDefault="00640D35" w:rsidP="00640D35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Disseminate information on how selection committees may utilize Minimum Qualifications to select candidates </w:t>
      </w:r>
    </w:p>
    <w:p w14:paraId="392235DC" w14:textId="60C668D6" w:rsidR="00640D35" w:rsidRDefault="00640D35" w:rsidP="00AD7C37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Design Professional Development workshops to increase knowledge and understanding of cultural competency and diversity </w:t>
      </w:r>
    </w:p>
    <w:p w14:paraId="36B0B83A" w14:textId="4786BDF8" w:rsidR="00AC1080" w:rsidRPr="00AC1080" w:rsidRDefault="007E098D" w:rsidP="007E098D">
      <w:pPr>
        <w:ind w:left="2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of the need to focus on equity and anti-racism </w:t>
      </w:r>
    </w:p>
    <w:p w14:paraId="36811C86" w14:textId="1F9656AD" w:rsidR="00640D35" w:rsidRDefault="00640D35" w:rsidP="00640D35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ASCCC, ACHRO and CCLC to develop a series of modules on cultural humility, equity, diversity and inclusion </w:t>
      </w:r>
    </w:p>
    <w:p w14:paraId="6EA15FE0" w14:textId="039741D7" w:rsidR="00AC1080" w:rsidRPr="00AC1080" w:rsidRDefault="00AC1080" w:rsidP="00AC108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AC1080">
        <w:rPr>
          <w:rFonts w:asciiTheme="majorHAnsi" w:hAnsiTheme="majorHAnsi"/>
        </w:rPr>
        <w:t xml:space="preserve">Committee discussed concerns over the term cultural humility (concern that it will lead to blame/shame). </w:t>
      </w:r>
    </w:p>
    <w:p w14:paraId="5CC58B5A" w14:textId="1485E56E" w:rsidR="00AC1080" w:rsidRPr="00AC1080" w:rsidRDefault="00AC1080" w:rsidP="00AC1080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AC1080">
        <w:rPr>
          <w:rFonts w:asciiTheme="majorHAnsi" w:hAnsiTheme="majorHAnsi"/>
        </w:rPr>
        <w:t>Ne</w:t>
      </w:r>
      <w:r>
        <w:rPr>
          <w:rFonts w:asciiTheme="majorHAnsi" w:hAnsiTheme="majorHAnsi"/>
        </w:rPr>
        <w:t xml:space="preserve">xt meeting </w:t>
      </w:r>
      <w:r w:rsidR="007E098D">
        <w:rPr>
          <w:rFonts w:asciiTheme="majorHAnsi" w:hAnsiTheme="majorHAnsi"/>
        </w:rPr>
        <w:t>committee</w:t>
      </w:r>
      <w:r>
        <w:rPr>
          <w:rFonts w:asciiTheme="majorHAnsi" w:hAnsiTheme="majorHAnsi"/>
        </w:rPr>
        <w:t xml:space="preserve"> will look at outcomes for the workshops and modules</w:t>
      </w:r>
      <w:r w:rsidR="007E098D">
        <w:rPr>
          <w:rFonts w:asciiTheme="majorHAnsi" w:hAnsiTheme="majorHAnsi"/>
        </w:rPr>
        <w:t xml:space="preserve">. Stephanie will send out Google Doc for collective brainstorming </w:t>
      </w:r>
    </w:p>
    <w:p w14:paraId="18100A88" w14:textId="16E0B304" w:rsidR="0095672C" w:rsidRDefault="0095672C" w:rsidP="0095672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Review/Revise Process for </w:t>
      </w:r>
      <w:hyperlink r:id="rId15" w:history="1">
        <w:r w:rsidRPr="00640D35">
          <w:rPr>
            <w:rStyle w:val="Hyperlink"/>
            <w:rFonts w:asciiTheme="majorHAnsi" w:hAnsiTheme="majorHAnsi"/>
          </w:rPr>
          <w:t>ASCCC Statewide Service Applications</w:t>
        </w:r>
      </w:hyperlink>
      <w:r w:rsidR="007E098D">
        <w:rPr>
          <w:rFonts w:asciiTheme="majorHAnsi" w:hAnsiTheme="majorHAnsi"/>
        </w:rPr>
        <w:t xml:space="preserve">/Local Senate Survey </w:t>
      </w:r>
    </w:p>
    <w:p w14:paraId="45405BA5" w14:textId="747749D2" w:rsidR="007E098D" w:rsidRDefault="007E098D" w:rsidP="007E098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discussed the assignment of reviewing the process, language, form, and recruitment of faculty for statewide service. </w:t>
      </w:r>
    </w:p>
    <w:p w14:paraId="1F580609" w14:textId="65EB5D6A" w:rsidR="007E098D" w:rsidRDefault="007E098D" w:rsidP="007E098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Committee will also review the Local Senate Survey which will be distributed in spring</w:t>
      </w:r>
      <w:r w:rsidR="00953A71">
        <w:rPr>
          <w:rFonts w:asciiTheme="majorHAnsi" w:hAnsiTheme="majorHAnsi"/>
        </w:rPr>
        <w:t xml:space="preserve"> 2021</w:t>
      </w:r>
      <w:r>
        <w:rPr>
          <w:rFonts w:asciiTheme="majorHAnsi" w:hAnsiTheme="majorHAnsi"/>
        </w:rPr>
        <w:t xml:space="preserve">. </w:t>
      </w:r>
    </w:p>
    <w:p w14:paraId="668458C2" w14:textId="38B5167E" w:rsidR="00640D35" w:rsidRDefault="0095672C" w:rsidP="00640D3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Local Senate Connections </w:t>
      </w:r>
      <w:r w:rsidR="00640D35">
        <w:rPr>
          <w:rFonts w:asciiTheme="majorHAnsi" w:hAnsiTheme="majorHAnsi"/>
        </w:rPr>
        <w:t>(</w:t>
      </w:r>
      <w:r w:rsidR="008443CE">
        <w:rPr>
          <w:rFonts w:asciiTheme="majorHAnsi" w:hAnsiTheme="majorHAnsi"/>
        </w:rPr>
        <w:t xml:space="preserve">Colleges not visited since 2017) </w:t>
      </w:r>
      <w:r w:rsidR="00125707">
        <w:rPr>
          <w:rFonts w:asciiTheme="majorHAnsi" w:hAnsiTheme="majorHAnsi"/>
        </w:rPr>
        <w:t>Columbia, Lake Tahoe, Porterville, College of the Redwoods, West Hills Coalinga, West Hills Lemoore, Berkeley City, Hartnell, Los Medanos, Antelope Valley, LA Trade Tech, Oxnard, Coastline, Copper Mountain,</w:t>
      </w:r>
      <w:r w:rsidR="007B0D6E">
        <w:rPr>
          <w:rFonts w:asciiTheme="majorHAnsi" w:hAnsiTheme="majorHAnsi"/>
        </w:rPr>
        <w:t xml:space="preserve"> </w:t>
      </w:r>
      <w:r w:rsidR="00125707">
        <w:rPr>
          <w:rFonts w:asciiTheme="majorHAnsi" w:hAnsiTheme="majorHAnsi"/>
        </w:rPr>
        <w:t xml:space="preserve">Cuycamaca, Golden West </w:t>
      </w:r>
    </w:p>
    <w:p w14:paraId="17146084" w14:textId="5DADC631" w:rsidR="007E098D" w:rsidRPr="007E098D" w:rsidRDefault="007E098D" w:rsidP="007E098D">
      <w:pPr>
        <w:ind w:left="19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Robert will share the email that the RwLS committee used last year. Committee will review/update the letter for this year. Committee members will split the identified college by their areas and send targeted emails. </w:t>
      </w:r>
    </w:p>
    <w:p w14:paraId="087F4073" w14:textId="77777777" w:rsidR="008155B8" w:rsidRPr="00A72929" w:rsidRDefault="008155B8" w:rsidP="00A72929">
      <w:pPr>
        <w:rPr>
          <w:rFonts w:asciiTheme="majorHAnsi" w:hAnsiTheme="majorHAnsi"/>
        </w:rPr>
      </w:pPr>
    </w:p>
    <w:p w14:paraId="7E9FD4BF" w14:textId="7ACB3957" w:rsidR="0095672C" w:rsidRPr="0095672C" w:rsidRDefault="0095672C" w:rsidP="0095672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 for Fall 2020 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2B93AB44" w14:textId="6E992448" w:rsidR="00AC4CDB" w:rsidRDefault="0095672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 Breakout Topics</w:t>
      </w:r>
    </w:p>
    <w:p w14:paraId="3CD41DDC" w14:textId="77777777" w:rsidR="007E098D" w:rsidRDefault="007E098D" w:rsidP="007E098D">
      <w:pPr>
        <w:pStyle w:val="ListParagraph"/>
        <w:rPr>
          <w:rFonts w:asciiTheme="majorHAnsi" w:hAnsiTheme="majorHAnsi"/>
        </w:rPr>
      </w:pPr>
    </w:p>
    <w:p w14:paraId="718DB207" w14:textId="0BE25DFB" w:rsidR="007E098D" w:rsidRDefault="007E098D" w:rsidP="007E098D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</w:t>
      </w:r>
      <w:r w:rsidR="00AC4D65">
        <w:rPr>
          <w:rFonts w:asciiTheme="majorHAnsi" w:hAnsiTheme="majorHAnsi"/>
        </w:rPr>
        <w:t xml:space="preserve">suggested plenary topic breakouts. </w:t>
      </w:r>
    </w:p>
    <w:p w14:paraId="063C165E" w14:textId="2A19D95A" w:rsidR="00AC4D65" w:rsidRDefault="00AC4D65" w:rsidP="00AC4D6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Definitions, Frameworks, Rubrics to support Local Senates </w:t>
      </w:r>
    </w:p>
    <w:p w14:paraId="3CB40BC4" w14:textId="24983774" w:rsidR="00AC4D65" w:rsidRDefault="00AC4D65" w:rsidP="00AC4D6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Equitizing Local Senate Leadership Opportunities </w:t>
      </w:r>
    </w:p>
    <w:p w14:paraId="7E942179" w14:textId="0284FD8E" w:rsidR="00AC4D65" w:rsidRDefault="00AC4D65" w:rsidP="00AC4D6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Diversity and Equity work is for everyone—Addressing Racial Battle Fatigue </w:t>
      </w:r>
    </w:p>
    <w:p w14:paraId="6AD6B014" w14:textId="40E9D79C" w:rsidR="00AC4D65" w:rsidRPr="00AC4D65" w:rsidRDefault="00AC4D65" w:rsidP="00AC4D6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Bringing a diversity of voices to the table</w:t>
      </w:r>
      <w:r w:rsidRPr="00AC4D65">
        <w:rPr>
          <w:rFonts w:asciiTheme="majorHAnsi" w:hAnsiTheme="majorHAnsi"/>
        </w:rPr>
        <w:t xml:space="preserve"> </w:t>
      </w:r>
    </w:p>
    <w:p w14:paraId="1700ACF3" w14:textId="77777777" w:rsidR="0095672C" w:rsidRDefault="0095672C" w:rsidP="0095672C">
      <w:pPr>
        <w:pStyle w:val="ListParagraph"/>
        <w:rPr>
          <w:rFonts w:asciiTheme="majorHAnsi" w:hAnsiTheme="majorHAnsi"/>
        </w:rPr>
      </w:pPr>
    </w:p>
    <w:p w14:paraId="446FFB18" w14:textId="130773A1" w:rsidR="0095672C" w:rsidRDefault="0095672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Rostrum Articles </w:t>
      </w:r>
    </w:p>
    <w:p w14:paraId="2F314A0C" w14:textId="77777777" w:rsidR="00AC1080" w:rsidRDefault="00AC1080" w:rsidP="00AC1080">
      <w:pPr>
        <w:pStyle w:val="ListParagraph"/>
        <w:rPr>
          <w:rFonts w:asciiTheme="majorHAnsi" w:hAnsiTheme="majorHAnsi"/>
        </w:rPr>
      </w:pPr>
    </w:p>
    <w:p w14:paraId="1FEBABFA" w14:textId="225110D1" w:rsidR="00AC1080" w:rsidRDefault="00AC1080" w:rsidP="00AC1080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Potential Rostrum article on Local Senate Presidents term (1 or 2 years) including impact on senates and continuity</w:t>
      </w:r>
      <w:r w:rsidR="00953A71">
        <w:rPr>
          <w:rFonts w:asciiTheme="majorHAnsi" w:hAnsiTheme="majorHAnsi"/>
        </w:rPr>
        <w:t xml:space="preserve"> (</w:t>
      </w:r>
      <w:proofErr w:type="spellStart"/>
      <w:r w:rsidR="00953A71">
        <w:rPr>
          <w:rFonts w:asciiTheme="majorHAnsi" w:hAnsiTheme="majorHAnsi"/>
        </w:rPr>
        <w:t>Nickawanna</w:t>
      </w:r>
      <w:proofErr w:type="spellEnd"/>
      <w:r w:rsidR="00953A71">
        <w:rPr>
          <w:rFonts w:asciiTheme="majorHAnsi" w:hAnsiTheme="majorHAnsi"/>
        </w:rPr>
        <w:t xml:space="preserve">/Stephanie) </w:t>
      </w:r>
      <w:r>
        <w:rPr>
          <w:rFonts w:asciiTheme="majorHAnsi" w:hAnsiTheme="majorHAnsi"/>
        </w:rPr>
        <w:t xml:space="preserve"> </w:t>
      </w:r>
    </w:p>
    <w:p w14:paraId="2867EC54" w14:textId="77777777" w:rsidR="0095672C" w:rsidRPr="005F4210" w:rsidRDefault="0095672C" w:rsidP="00275083">
      <w:pPr>
        <w:rPr>
          <w:rFonts w:asciiTheme="majorHAnsi" w:hAnsiTheme="majorHAnsi"/>
        </w:rPr>
      </w:pPr>
    </w:p>
    <w:p w14:paraId="20048843" w14:textId="77777777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402485C5" w14:textId="3011D11A" w:rsidR="00412492" w:rsidRDefault="00C954AC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Academic Academy- October 8, 2020 </w:t>
      </w:r>
    </w:p>
    <w:p w14:paraId="368F8F37" w14:textId="09BE1B1C" w:rsidR="00AD7C37" w:rsidRDefault="00AD7C37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Fall Plenary November 5, 2020 </w:t>
      </w:r>
    </w:p>
    <w:p w14:paraId="5D22C248" w14:textId="77777777" w:rsidR="00AC4D65" w:rsidRDefault="00AC4D65" w:rsidP="00AC4D65">
      <w:pPr>
        <w:ind w:left="1440"/>
        <w:rPr>
          <w:rFonts w:asciiTheme="majorHAnsi" w:hAnsiTheme="majorHAnsi"/>
        </w:rPr>
      </w:pP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05C7D826" w14:textId="6698A732" w:rsidR="00A4282D" w:rsidRPr="00AC4D65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lastRenderedPageBreak/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  <w:r w:rsidR="00AC4D65">
        <w:rPr>
          <w:rFonts w:asciiTheme="majorHAnsi" w:hAnsiTheme="majorHAnsi"/>
          <w:b/>
        </w:rPr>
        <w:t xml:space="preserve"> </w:t>
      </w:r>
    </w:p>
    <w:p w14:paraId="0953289F" w14:textId="6BAF4247" w:rsidR="00AC4D65" w:rsidRDefault="00AC4D65" w:rsidP="00AC4D65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The Committee adjourned at 3:08</w:t>
      </w:r>
      <w:r w:rsidR="00953A71">
        <w:rPr>
          <w:rFonts w:asciiTheme="majorHAnsi" w:hAnsiTheme="majorHAnsi"/>
        </w:rPr>
        <w:t xml:space="preserve"> pm </w:t>
      </w:r>
    </w:p>
    <w:p w14:paraId="2B201B25" w14:textId="77777777" w:rsidR="00AC4D65" w:rsidRPr="00AD175B" w:rsidRDefault="00AC4D65" w:rsidP="00AC4D65">
      <w:pPr>
        <w:ind w:left="360"/>
        <w:rPr>
          <w:rFonts w:asciiTheme="majorHAnsi" w:hAnsiTheme="majorHAnsi"/>
        </w:rPr>
      </w:pP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2574E230" w14:textId="77777777" w:rsidR="004B62D3" w:rsidRPr="00600A30" w:rsidRDefault="004B62D3" w:rsidP="004B62D3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C84BB" w14:textId="77777777" w:rsidR="0039729B" w:rsidRDefault="0039729B">
      <w:r>
        <w:separator/>
      </w:r>
    </w:p>
  </w:endnote>
  <w:endnote w:type="continuationSeparator" w:id="0">
    <w:p w14:paraId="75D23453" w14:textId="77777777" w:rsidR="0039729B" w:rsidRDefault="0039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4038" w14:textId="77777777" w:rsidR="0039729B" w:rsidRDefault="0039729B">
      <w:r>
        <w:separator/>
      </w:r>
    </w:p>
  </w:footnote>
  <w:footnote w:type="continuationSeparator" w:id="0">
    <w:p w14:paraId="4AD9DEC1" w14:textId="77777777" w:rsidR="0039729B" w:rsidRDefault="0039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605AFB"/>
    <w:multiLevelType w:val="hybridMultilevel"/>
    <w:tmpl w:val="1BDAF9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7195"/>
    <w:multiLevelType w:val="hybridMultilevel"/>
    <w:tmpl w:val="6AFCDB8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3217F3"/>
    <w:multiLevelType w:val="hybridMultilevel"/>
    <w:tmpl w:val="D5244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02E4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25707"/>
    <w:rsid w:val="0013159D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10AE8"/>
    <w:rsid w:val="002319B6"/>
    <w:rsid w:val="002326FE"/>
    <w:rsid w:val="00234883"/>
    <w:rsid w:val="00237F1D"/>
    <w:rsid w:val="00245F21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9729B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0D35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40B2E"/>
    <w:rsid w:val="00755F42"/>
    <w:rsid w:val="0076476B"/>
    <w:rsid w:val="0078283E"/>
    <w:rsid w:val="00795B77"/>
    <w:rsid w:val="007A4E19"/>
    <w:rsid w:val="007A508F"/>
    <w:rsid w:val="007B0D6E"/>
    <w:rsid w:val="007D2756"/>
    <w:rsid w:val="007D7370"/>
    <w:rsid w:val="007E098D"/>
    <w:rsid w:val="007E234E"/>
    <w:rsid w:val="007E5957"/>
    <w:rsid w:val="007E5F64"/>
    <w:rsid w:val="007E726A"/>
    <w:rsid w:val="007F33CC"/>
    <w:rsid w:val="008008D8"/>
    <w:rsid w:val="0080099D"/>
    <w:rsid w:val="0080639A"/>
    <w:rsid w:val="00807047"/>
    <w:rsid w:val="00811F2C"/>
    <w:rsid w:val="00813FC1"/>
    <w:rsid w:val="008155B8"/>
    <w:rsid w:val="008277E1"/>
    <w:rsid w:val="00832E63"/>
    <w:rsid w:val="008424DA"/>
    <w:rsid w:val="008443CE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53A71"/>
    <w:rsid w:val="0095672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35BFD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080"/>
    <w:rsid w:val="00AC1CDE"/>
    <w:rsid w:val="00AC2B84"/>
    <w:rsid w:val="00AC4CDB"/>
    <w:rsid w:val="00AC4D65"/>
    <w:rsid w:val="00AD175B"/>
    <w:rsid w:val="00AD18BC"/>
    <w:rsid w:val="00AD7B9C"/>
    <w:rsid w:val="00AD7C37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E5E4E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54AC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C2BE0"/>
    <w:rsid w:val="00EE3588"/>
    <w:rsid w:val="00EF090D"/>
    <w:rsid w:val="00F04ACE"/>
    <w:rsid w:val="00F06415"/>
    <w:rsid w:val="00F07DEE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ccc.org/resolutions/increase-participatory-governance-colleges%E2%80%99-satellite-campus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asccc.org/resolutions/defining-collegiality-workpla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ccc.org/resolutions/encourage-dialog-about-equivalency-practi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ccc.org/content/faculty-application-statewide-servic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cco.edu/-/media/CCCCO-Website/Reports/CCCCO_DEI_Report.pdf?la=en&amp;hash=69E11E4DAB1DEBA3181E053BEE89E7BC3A709B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AA0F4-FA02-41BE-8A0B-5FA9CDD54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FC042-42CA-444E-A962-1880777E66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DA2EC7-0FD7-467A-91B7-E37674A42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4602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4</cp:revision>
  <cp:lastPrinted>2017-04-13T00:50:00Z</cp:lastPrinted>
  <dcterms:created xsi:type="dcterms:W3CDTF">2020-08-28T23:00:00Z</dcterms:created>
  <dcterms:modified xsi:type="dcterms:W3CDTF">2020-08-30T00:20:00Z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