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34BCD" w14:textId="77777777" w:rsidR="00783872" w:rsidRPr="00BB5D2A" w:rsidRDefault="00783872" w:rsidP="00783872">
      <w:pPr>
        <w:rPr>
          <w:b/>
        </w:rPr>
      </w:pPr>
      <w:r w:rsidRPr="00BB5D2A">
        <w:rPr>
          <w:b/>
        </w:rPr>
        <w:t>Present</w:t>
      </w:r>
    </w:p>
    <w:p w14:paraId="509FE1DF" w14:textId="1728C3FE" w:rsidR="00783872" w:rsidRPr="00BB5D2A" w:rsidRDefault="00BB5D2A" w:rsidP="00783872">
      <w:r w:rsidRPr="00BB5D2A">
        <w:t>Dolores Davison (chair), Randy Beach, Darryl Isa</w:t>
      </w:r>
      <w:r w:rsidR="00783872" w:rsidRPr="00BB5D2A">
        <w:t xml:space="preserve">ac, Karen </w:t>
      </w:r>
      <w:proofErr w:type="spellStart"/>
      <w:r w:rsidR="00783872" w:rsidRPr="00BB5D2A">
        <w:t>D</w:t>
      </w:r>
      <w:r w:rsidRPr="00BB5D2A">
        <w:t>aar</w:t>
      </w:r>
      <w:proofErr w:type="spellEnd"/>
      <w:r w:rsidRPr="00BB5D2A">
        <w:t xml:space="preserve">, Michael </w:t>
      </w:r>
      <w:proofErr w:type="spellStart"/>
      <w:r w:rsidRPr="00BB5D2A">
        <w:t>Wyly</w:t>
      </w:r>
      <w:proofErr w:type="spellEnd"/>
      <w:r w:rsidR="00783872" w:rsidRPr="00BB5D2A">
        <w:t>, Bernard McFadden, Mi</w:t>
      </w:r>
      <w:r w:rsidRPr="00BB5D2A">
        <w:t xml:space="preserve">chael Bowen, Dorothy Hendrix, Michelle </w:t>
      </w:r>
      <w:proofErr w:type="spellStart"/>
      <w:r w:rsidRPr="00BB5D2A">
        <w:t>Sampat</w:t>
      </w:r>
      <w:proofErr w:type="spellEnd"/>
    </w:p>
    <w:p w14:paraId="20A8FF28" w14:textId="77777777" w:rsidR="00783872" w:rsidRPr="00BB5D2A" w:rsidRDefault="00783872" w:rsidP="00783872"/>
    <w:p w14:paraId="0E515E87" w14:textId="71BC167E" w:rsidR="00783872" w:rsidRPr="00BB5D2A" w:rsidRDefault="00783872" w:rsidP="00783872">
      <w:pPr>
        <w:rPr>
          <w:b/>
        </w:rPr>
      </w:pPr>
      <w:r w:rsidRPr="00BB5D2A">
        <w:rPr>
          <w:b/>
        </w:rPr>
        <w:t>Call to Order</w:t>
      </w:r>
      <w:r w:rsidR="00BB5D2A" w:rsidRPr="00BB5D2A">
        <w:rPr>
          <w:b/>
        </w:rPr>
        <w:t>—4:36pm</w:t>
      </w:r>
    </w:p>
    <w:p w14:paraId="62A40EF9" w14:textId="77777777" w:rsidR="00783872" w:rsidRPr="00BB5D2A" w:rsidRDefault="00783872" w:rsidP="00783872"/>
    <w:p w14:paraId="4ADF4D8F" w14:textId="77777777" w:rsidR="00783872" w:rsidRPr="00BB5D2A" w:rsidRDefault="00783872" w:rsidP="00783872">
      <w:pPr>
        <w:rPr>
          <w:b/>
        </w:rPr>
      </w:pPr>
      <w:r w:rsidRPr="00BB5D2A">
        <w:rPr>
          <w:b/>
        </w:rPr>
        <w:t xml:space="preserve">Welcome and Introductions + </w:t>
      </w:r>
      <w:proofErr w:type="spellStart"/>
      <w:r w:rsidRPr="00BB5D2A">
        <w:rPr>
          <w:b/>
        </w:rPr>
        <w:t>Notetaker</w:t>
      </w:r>
      <w:proofErr w:type="spellEnd"/>
    </w:p>
    <w:p w14:paraId="73AF3E63" w14:textId="57B7C646" w:rsidR="00783872" w:rsidRPr="00BB5D2A" w:rsidRDefault="00783872" w:rsidP="00783872">
      <w:r w:rsidRPr="00BB5D2A">
        <w:t xml:space="preserve">Committee members present introduced themselves. Dolores gave the overall responsibilities of the committee including expectations for Curriculum Institute and Regionals. </w:t>
      </w:r>
      <w:r w:rsidR="00BB5D2A" w:rsidRPr="00BB5D2A">
        <w:t>Randy agreed to take notes.</w:t>
      </w:r>
    </w:p>
    <w:p w14:paraId="24F95B32" w14:textId="77777777" w:rsidR="00783872" w:rsidRPr="00BB5D2A" w:rsidRDefault="00783872" w:rsidP="00783872"/>
    <w:p w14:paraId="0D2C5121" w14:textId="77777777" w:rsidR="00783872" w:rsidRPr="00BB5D2A" w:rsidRDefault="00783872" w:rsidP="00783872">
      <w:pPr>
        <w:rPr>
          <w:b/>
        </w:rPr>
      </w:pPr>
      <w:r w:rsidRPr="00BB5D2A">
        <w:rPr>
          <w:b/>
        </w:rPr>
        <w:t xml:space="preserve">Logistics:  </w:t>
      </w:r>
    </w:p>
    <w:p w14:paraId="783108CC" w14:textId="77777777" w:rsidR="00783872" w:rsidRPr="00BB5D2A" w:rsidRDefault="00783872" w:rsidP="00783872">
      <w:r w:rsidRPr="00BB5D2A">
        <w:t xml:space="preserve">In person meetings will be held in the South due to the majority of committee members being in Southern California. Links to travel forms (requests, reimbursements) on the agenda. Unless travel is significant, ASCCC does not offer hotel stays. Continental breakfast and lunch provided for in person meetings. </w:t>
      </w:r>
    </w:p>
    <w:p w14:paraId="0C2B6197" w14:textId="77777777" w:rsidR="00783872" w:rsidRPr="00BB5D2A" w:rsidRDefault="00783872" w:rsidP="00783872">
      <w:pPr>
        <w:ind w:firstLine="720"/>
        <w:rPr>
          <w:rFonts w:asciiTheme="majorHAnsi" w:hAnsiTheme="majorHAnsi"/>
        </w:rPr>
      </w:pPr>
      <w:r w:rsidRPr="00BB5D2A">
        <w:rPr>
          <w:rFonts w:asciiTheme="majorHAnsi" w:hAnsiTheme="majorHAnsi"/>
        </w:rPr>
        <w:t>Travel form at</w:t>
      </w:r>
      <w:proofErr w:type="gramStart"/>
      <w:r w:rsidRPr="00BB5D2A">
        <w:rPr>
          <w:rFonts w:asciiTheme="majorHAnsi" w:hAnsiTheme="majorHAnsi"/>
        </w:rPr>
        <w:t xml:space="preserve">:  </w:t>
      </w:r>
      <w:proofErr w:type="gramEnd"/>
      <w:r w:rsidRPr="00BB5D2A">
        <w:fldChar w:fldCharType="begin"/>
      </w:r>
      <w:r w:rsidRPr="00BB5D2A">
        <w:instrText xml:space="preserve"> HYPERLINK "http://www.asccc.org/content/flight-and-travel-request" </w:instrText>
      </w:r>
      <w:r w:rsidRPr="00BB5D2A">
        <w:fldChar w:fldCharType="separate"/>
      </w:r>
      <w:r w:rsidRPr="00BB5D2A">
        <w:rPr>
          <w:rStyle w:val="Hyperlink"/>
          <w:rFonts w:asciiTheme="majorHAnsi" w:hAnsiTheme="majorHAnsi"/>
        </w:rPr>
        <w:t>http://www.asccc.org/content/flight-and-travel-request</w:t>
      </w:r>
      <w:r w:rsidRPr="00BB5D2A">
        <w:rPr>
          <w:rStyle w:val="Hyperlink"/>
          <w:rFonts w:asciiTheme="majorHAnsi" w:hAnsiTheme="majorHAnsi"/>
        </w:rPr>
        <w:fldChar w:fldCharType="end"/>
      </w:r>
    </w:p>
    <w:p w14:paraId="774B8B7C" w14:textId="77777777" w:rsidR="00783872" w:rsidRPr="00BB5D2A" w:rsidRDefault="00783872" w:rsidP="00783872">
      <w:pPr>
        <w:ind w:left="720"/>
        <w:rPr>
          <w:rFonts w:asciiTheme="majorHAnsi" w:hAnsiTheme="majorHAnsi"/>
        </w:rPr>
      </w:pPr>
      <w:r w:rsidRPr="00BB5D2A">
        <w:rPr>
          <w:rFonts w:asciiTheme="majorHAnsi" w:hAnsiTheme="majorHAnsi"/>
        </w:rPr>
        <w:t xml:space="preserve">Reimbursement forms at: </w:t>
      </w:r>
      <w:hyperlink r:id="rId6" w:history="1">
        <w:r w:rsidRPr="00BB5D2A">
          <w:rPr>
            <w:rStyle w:val="Hyperlink"/>
            <w:rFonts w:asciiTheme="majorHAnsi" w:hAnsiTheme="majorHAnsi"/>
          </w:rPr>
          <w:t>http://www.asccc.org/sites/default/files/SenateReimbursementForm2016_1.pdf</w:t>
        </w:r>
      </w:hyperlink>
    </w:p>
    <w:p w14:paraId="283305A4" w14:textId="77777777" w:rsidR="00783872" w:rsidRPr="00BB5D2A" w:rsidRDefault="00783872" w:rsidP="00783872"/>
    <w:p w14:paraId="486C2624" w14:textId="77777777" w:rsidR="00783872" w:rsidRPr="00BB5D2A" w:rsidRDefault="00783872" w:rsidP="00783872">
      <w:pPr>
        <w:rPr>
          <w:u w:val="single"/>
        </w:rPr>
      </w:pPr>
      <w:r w:rsidRPr="00BB5D2A">
        <w:rPr>
          <w:u w:val="single"/>
        </w:rPr>
        <w:t>Discussion items, with action as needed</w:t>
      </w:r>
    </w:p>
    <w:p w14:paraId="78000A71" w14:textId="77777777" w:rsidR="00783872" w:rsidRPr="00BB5D2A" w:rsidRDefault="00783872" w:rsidP="00783872">
      <w:pPr>
        <w:rPr>
          <w:b/>
        </w:rPr>
      </w:pPr>
      <w:r w:rsidRPr="00BB5D2A">
        <w:rPr>
          <w:b/>
        </w:rPr>
        <w:t xml:space="preserve">Curriculum Regionals – 21 and 22 October </w:t>
      </w:r>
    </w:p>
    <w:p w14:paraId="349D8950" w14:textId="77777777" w:rsidR="005D0BAC" w:rsidRPr="00BB5D2A" w:rsidRDefault="00783872" w:rsidP="00783872">
      <w:r w:rsidRPr="00BB5D2A">
        <w:t xml:space="preserve">Two months to plan. Info already on ASCCC website. We do one in North (Fri) one in South (Sat.). Typically morning session consists of updates on initiatives. Second part (afternoon) usually breakout sessions around specific topics. </w:t>
      </w:r>
    </w:p>
    <w:p w14:paraId="1AA98A12" w14:textId="77777777" w:rsidR="005D0BAC" w:rsidRPr="00BB5D2A" w:rsidRDefault="005D0BAC" w:rsidP="00783872"/>
    <w:p w14:paraId="75229D5E" w14:textId="77777777" w:rsidR="005D0BAC" w:rsidRPr="00BB5D2A" w:rsidRDefault="005D0BAC" w:rsidP="00783872">
      <w:pPr>
        <w:rPr>
          <w:u w:val="single"/>
        </w:rPr>
      </w:pPr>
      <w:r w:rsidRPr="00BB5D2A">
        <w:rPr>
          <w:u w:val="single"/>
        </w:rPr>
        <w:t>Topics</w:t>
      </w:r>
    </w:p>
    <w:p w14:paraId="482324FD" w14:textId="77777777" w:rsidR="00267ECC" w:rsidRPr="00BB5D2A" w:rsidRDefault="00783872" w:rsidP="00783872">
      <w:r w:rsidRPr="00BB5D2A">
        <w:t>Potentially lots of interest in Curriculum Inventory, Dual Enrollment, new PC</w:t>
      </w:r>
      <w:r w:rsidR="005F036D" w:rsidRPr="00BB5D2A">
        <w:t>AH, HS Articulation agreements, prior learning assessment</w:t>
      </w:r>
      <w:proofErr w:type="gramStart"/>
      <w:r w:rsidR="005F036D" w:rsidRPr="00BB5D2A">
        <w:t xml:space="preserve">, </w:t>
      </w:r>
      <w:r w:rsidR="00716E04" w:rsidRPr="00BB5D2A">
        <w:t>developing</w:t>
      </w:r>
      <w:proofErr w:type="gramEnd"/>
      <w:r w:rsidR="00716E04" w:rsidRPr="00BB5D2A">
        <w:t xml:space="preserve"> curriculum for </w:t>
      </w:r>
      <w:r w:rsidR="005F036D" w:rsidRPr="00BB5D2A">
        <w:t xml:space="preserve">distance education courses. </w:t>
      </w:r>
    </w:p>
    <w:p w14:paraId="4BFC0E44" w14:textId="77BA66C8" w:rsidR="00783872" w:rsidRPr="00BB5D2A" w:rsidRDefault="00267ECC" w:rsidP="00783872">
      <w:r w:rsidRPr="00BB5D2A">
        <w:t xml:space="preserve">ACTION: </w:t>
      </w:r>
      <w:r w:rsidR="005F036D" w:rsidRPr="00BB5D2A">
        <w:t xml:space="preserve">Committee members should send </w:t>
      </w:r>
      <w:r w:rsidR="00716E04" w:rsidRPr="00BB5D2A">
        <w:t xml:space="preserve">additional </w:t>
      </w:r>
      <w:r w:rsidR="005F036D" w:rsidRPr="00BB5D2A">
        <w:t xml:space="preserve">ideas for </w:t>
      </w:r>
      <w:r w:rsidR="00716E04" w:rsidRPr="00BB5D2A">
        <w:t xml:space="preserve">breakout topic to Dolores by the end of the week. </w:t>
      </w:r>
      <w:r w:rsidR="005F036D" w:rsidRPr="00BB5D2A">
        <w:t xml:space="preserve"> </w:t>
      </w:r>
    </w:p>
    <w:p w14:paraId="1FBC2EEE" w14:textId="77777777" w:rsidR="00783872" w:rsidRPr="00BB5D2A" w:rsidRDefault="005D0BAC" w:rsidP="00783872">
      <w:pPr>
        <w:rPr>
          <w:u w:val="single"/>
        </w:rPr>
      </w:pPr>
      <w:r w:rsidRPr="00BB5D2A">
        <w:br/>
      </w:r>
      <w:r w:rsidRPr="00BB5D2A">
        <w:rPr>
          <w:u w:val="single"/>
        </w:rPr>
        <w:t>Attendance</w:t>
      </w:r>
    </w:p>
    <w:p w14:paraId="11612D57" w14:textId="403E57DA" w:rsidR="005D0BAC" w:rsidRPr="00BB5D2A" w:rsidRDefault="00783872" w:rsidP="00783872">
      <w:proofErr w:type="gramStart"/>
      <w:r w:rsidRPr="00BB5D2A">
        <w:t>Attendees predominantly curriculum chairs and technical support.</w:t>
      </w:r>
      <w:proofErr w:type="gramEnd"/>
      <w:r w:rsidRPr="00BB5D2A">
        <w:t xml:space="preserve"> Sometimes deans </w:t>
      </w:r>
      <w:r w:rsidR="00BB5D2A" w:rsidRPr="00BB5D2A">
        <w:t xml:space="preserve">and other administrators </w:t>
      </w:r>
      <w:r w:rsidRPr="00BB5D2A">
        <w:t xml:space="preserve">attend. </w:t>
      </w:r>
    </w:p>
    <w:p w14:paraId="58152404" w14:textId="77777777" w:rsidR="005D0BAC" w:rsidRPr="00BB5D2A" w:rsidRDefault="005D0BAC" w:rsidP="00783872"/>
    <w:p w14:paraId="3E139D3F" w14:textId="77777777" w:rsidR="005D0BAC" w:rsidRPr="00BB5D2A" w:rsidRDefault="005D0BAC" w:rsidP="00783872">
      <w:pPr>
        <w:rPr>
          <w:u w:val="single"/>
        </w:rPr>
      </w:pPr>
      <w:r w:rsidRPr="00BB5D2A">
        <w:rPr>
          <w:u w:val="single"/>
        </w:rPr>
        <w:t>Locations:</w:t>
      </w:r>
    </w:p>
    <w:p w14:paraId="11845407" w14:textId="32BD19AB" w:rsidR="00783872" w:rsidRPr="00BB5D2A" w:rsidRDefault="00783872" w:rsidP="00783872">
      <w:r w:rsidRPr="00BB5D2A">
        <w:t xml:space="preserve">Waiting on locations for the North, three </w:t>
      </w:r>
      <w:proofErr w:type="spellStart"/>
      <w:r w:rsidRPr="00BB5D2A">
        <w:t>possible</w:t>
      </w:r>
      <w:r w:rsidR="005D0BAC" w:rsidRPr="00BB5D2A">
        <w:t>s</w:t>
      </w:r>
      <w:proofErr w:type="spellEnd"/>
      <w:r w:rsidRPr="00BB5D2A">
        <w:t>: Merritt in Oaklan</w:t>
      </w:r>
      <w:r w:rsidR="005D0BAC" w:rsidRPr="00BB5D2A">
        <w:t>d, Alameda, or San Mateo</w:t>
      </w:r>
      <w:r w:rsidRPr="00BB5D2A">
        <w:t xml:space="preserve">. </w:t>
      </w:r>
      <w:r w:rsidR="00BB5D2A">
        <w:t xml:space="preserve">  Dolores, Michael </w:t>
      </w:r>
      <w:proofErr w:type="spellStart"/>
      <w:r w:rsidR="00BB5D2A">
        <w:t>Wyly</w:t>
      </w:r>
      <w:proofErr w:type="spellEnd"/>
      <w:r w:rsidR="00BB5D2A">
        <w:t>, and Randy are confirmed for the northern regional.</w:t>
      </w:r>
    </w:p>
    <w:p w14:paraId="1C9857BA" w14:textId="4ED792AE" w:rsidR="00783872" w:rsidRPr="00BB5D2A" w:rsidRDefault="00783872" w:rsidP="00783872">
      <w:r w:rsidRPr="00BB5D2A">
        <w:t>South: Mt. San Antonio College</w:t>
      </w:r>
      <w:r w:rsidR="005D0BAC" w:rsidRPr="00BB5D2A">
        <w:t xml:space="preserve"> (tentative) </w:t>
      </w:r>
      <w:r w:rsidR="00BB5D2A">
        <w:t>– all members of the committee appear to be able to attend with the exception of Bernard.</w:t>
      </w:r>
    </w:p>
    <w:p w14:paraId="1B6A437A" w14:textId="77777777" w:rsidR="005D0BAC" w:rsidRPr="00BB5D2A" w:rsidRDefault="005D0BAC" w:rsidP="00783872"/>
    <w:p w14:paraId="56AB6F0B" w14:textId="77777777" w:rsidR="00783872" w:rsidRPr="00BB5D2A" w:rsidRDefault="00783872" w:rsidP="00783872">
      <w:r w:rsidRPr="00BB5D2A">
        <w:rPr>
          <w:b/>
        </w:rPr>
        <w:t>Plenary Session</w:t>
      </w:r>
      <w:r w:rsidRPr="00BB5D2A">
        <w:t xml:space="preserve"> </w:t>
      </w:r>
    </w:p>
    <w:p w14:paraId="09CFDD07" w14:textId="3F23024A" w:rsidR="00716E04" w:rsidRPr="00BB5D2A" w:rsidRDefault="00716E04" w:rsidP="00716E04">
      <w:r w:rsidRPr="00BB5D2A">
        <w:t xml:space="preserve">Dolores submitted breakouts on PCAH, Dual Enrollment, Hot Topics in Curriculum, others. Likely have two or three breakouts on Curriculum. Good to have committee </w:t>
      </w:r>
      <w:r w:rsidRPr="00BB5D2A">
        <w:lastRenderedPageBreak/>
        <w:t xml:space="preserve">members in the audience to capture ideas for the paper. </w:t>
      </w:r>
      <w:r w:rsidR="00BB5D2A">
        <w:t xml:space="preserve"> </w:t>
      </w:r>
    </w:p>
    <w:p w14:paraId="065F1BD4" w14:textId="77777777" w:rsidR="00716E04" w:rsidRPr="00BB5D2A" w:rsidRDefault="00716E04" w:rsidP="00716E04"/>
    <w:p w14:paraId="09BB5608" w14:textId="77777777" w:rsidR="00716E04" w:rsidRPr="00BB5D2A" w:rsidRDefault="00BB5D2A" w:rsidP="00716E04">
      <w:hyperlink r:id="rId7" w:history="1">
        <w:r w:rsidR="00716E04" w:rsidRPr="00BB5D2A">
          <w:t>http://www.asccc.org/events/2016-11-03-150000-2016-11-06-000000/2016-fall-plenary-session</w:t>
        </w:r>
      </w:hyperlink>
    </w:p>
    <w:p w14:paraId="72E0255A" w14:textId="77777777" w:rsidR="00716E04" w:rsidRPr="00BB5D2A" w:rsidRDefault="00716E04" w:rsidP="00783872">
      <w:r w:rsidRPr="00BB5D2A">
        <w:t xml:space="preserve"> </w:t>
      </w:r>
    </w:p>
    <w:p w14:paraId="1C05F398" w14:textId="77777777" w:rsidR="00783872" w:rsidRPr="00BB5D2A" w:rsidRDefault="00783872" w:rsidP="00783872">
      <w:pPr>
        <w:rPr>
          <w:b/>
        </w:rPr>
      </w:pPr>
      <w:r w:rsidRPr="00BB5D2A">
        <w:rPr>
          <w:b/>
        </w:rPr>
        <w:t>Plenary Resolutions on Curriculum</w:t>
      </w:r>
    </w:p>
    <w:p w14:paraId="4505ECC9" w14:textId="77777777" w:rsidR="00267ECC" w:rsidRPr="00BB5D2A" w:rsidRDefault="00716E04" w:rsidP="00783872">
      <w:r w:rsidRPr="00BB5D2A">
        <w:t xml:space="preserve">Resolutions are many on topics such as papers, statements and positions, etc. Currently over 40 resolutions assigned to curriculum committee, but many are out-of-date and have been completed but not updated. </w:t>
      </w:r>
    </w:p>
    <w:p w14:paraId="2B5ED879" w14:textId="4E84A139" w:rsidR="00716E04" w:rsidRPr="00BB5D2A" w:rsidRDefault="00267ECC" w:rsidP="00783872">
      <w:r w:rsidRPr="00BB5D2A">
        <w:t xml:space="preserve">ACTION: </w:t>
      </w:r>
      <w:r w:rsidR="00716E04" w:rsidRPr="00BB5D2A">
        <w:t xml:space="preserve">Dolores will update list and send out for next meeting. </w:t>
      </w:r>
    </w:p>
    <w:p w14:paraId="70A37405" w14:textId="77777777" w:rsidR="00716E04" w:rsidRPr="00BB5D2A" w:rsidRDefault="00716E04" w:rsidP="00783872"/>
    <w:p w14:paraId="49A6CA65" w14:textId="77777777" w:rsidR="00716E04" w:rsidRPr="00BB5D2A" w:rsidRDefault="00BB5D2A" w:rsidP="00716E04">
      <w:hyperlink r:id="rId8" w:history="1">
        <w:r w:rsidR="00716E04" w:rsidRPr="00BB5D2A">
          <w:t>http://www.asccc.org/events/2016-11-03-150000-2016-11-06-000000/2016-fall-plenary-session</w:t>
        </w:r>
      </w:hyperlink>
    </w:p>
    <w:p w14:paraId="1EAF51CC" w14:textId="77777777" w:rsidR="00783872" w:rsidRPr="00BB5D2A" w:rsidRDefault="00716E04" w:rsidP="00783872">
      <w:r w:rsidRPr="00BB5D2A">
        <w:t xml:space="preserve"> </w:t>
      </w:r>
    </w:p>
    <w:p w14:paraId="46E1AF10" w14:textId="77777777" w:rsidR="00783872" w:rsidRPr="00BB5D2A" w:rsidRDefault="00783872" w:rsidP="00783872">
      <w:pPr>
        <w:rPr>
          <w:b/>
        </w:rPr>
      </w:pPr>
      <w:r w:rsidRPr="00BB5D2A">
        <w:rPr>
          <w:b/>
        </w:rPr>
        <w:t>Curriculum Paper on Course Outlines of Record (attached)</w:t>
      </w:r>
    </w:p>
    <w:p w14:paraId="2ABA2F00" w14:textId="2C12AD7F" w:rsidR="00C0429D" w:rsidRPr="00BB5D2A" w:rsidRDefault="00C0429D" w:rsidP="00C0429D">
      <w:r w:rsidRPr="00BB5D2A">
        <w:t xml:space="preserve">Based on past resolution. Outline approved at Exec last spring. No action during summer. Goal is to bring paper to spring plenary session. Must be approved at March </w:t>
      </w:r>
      <w:r w:rsidR="009F5731" w:rsidRPr="00BB5D2A">
        <w:t>20</w:t>
      </w:r>
      <w:r w:rsidRPr="00BB5D2A">
        <w:t>17 Exec Meeting, First reading at February Exec meeting. Divided into six meaty sections. See Below</w:t>
      </w:r>
      <w:r w:rsidR="0038369B" w:rsidRPr="00BB5D2A">
        <w:t xml:space="preserve"> for Assignments</w:t>
      </w:r>
    </w:p>
    <w:p w14:paraId="43A9EAD1" w14:textId="77777777" w:rsidR="00C0429D" w:rsidRPr="00BB5D2A" w:rsidRDefault="00C0429D" w:rsidP="00C0429D"/>
    <w:p w14:paraId="68A22944" w14:textId="77777777" w:rsidR="00783872" w:rsidRPr="00BB5D2A" w:rsidRDefault="00783872" w:rsidP="00783872">
      <w:pPr>
        <w:rPr>
          <w:b/>
        </w:rPr>
      </w:pPr>
      <w:r w:rsidRPr="00BB5D2A">
        <w:rPr>
          <w:b/>
        </w:rPr>
        <w:t>Curriculum Institute – 12-15 July 2017 in Riverside</w:t>
      </w:r>
    </w:p>
    <w:p w14:paraId="301611A3" w14:textId="6396A864" w:rsidR="00783872" w:rsidRPr="00BB5D2A" w:rsidRDefault="00FC59DA" w:rsidP="00783872">
      <w:r w:rsidRPr="00BB5D2A">
        <w:t>Details of CI will be discussed at the face-to</w:t>
      </w:r>
      <w:r w:rsidR="009F5731" w:rsidRPr="00BB5D2A">
        <w:t>-</w:t>
      </w:r>
      <w:r w:rsidRPr="00BB5D2A">
        <w:t xml:space="preserve">face meeting. CI will be based largely on last year’s institute. Certain elements are always present. </w:t>
      </w:r>
      <w:proofErr w:type="gramStart"/>
      <w:r w:rsidRPr="00BB5D2A">
        <w:t>Boot camp for new chairs, specialists, and CIOs.</w:t>
      </w:r>
      <w:proofErr w:type="gramEnd"/>
      <w:r w:rsidRPr="00BB5D2A">
        <w:t xml:space="preserve"> </w:t>
      </w:r>
      <w:proofErr w:type="gramStart"/>
      <w:r w:rsidRPr="00BB5D2A">
        <w:t>Lot of interest in doing something on SLOs and curriculum.</w:t>
      </w:r>
      <w:proofErr w:type="gramEnd"/>
      <w:r w:rsidRPr="00BB5D2A">
        <w:t xml:space="preserve"> PCAH Update and Curriculum Inventory will not be the focus as much as they will be completed by that time. Exec members will be involved in doing</w:t>
      </w:r>
      <w:r w:rsidR="009F5731" w:rsidRPr="00BB5D2A">
        <w:t xml:space="preserve"> </w:t>
      </w:r>
      <w:proofErr w:type="gramStart"/>
      <w:r w:rsidR="009F5731" w:rsidRPr="00BB5D2A">
        <w:t>breakouts</w:t>
      </w:r>
      <w:proofErr w:type="gramEnd"/>
      <w:r w:rsidR="009F5731" w:rsidRPr="00BB5D2A">
        <w:t xml:space="preserve"> as will CCCCO staff and administrators from colleges. </w:t>
      </w:r>
    </w:p>
    <w:p w14:paraId="3665DCFD" w14:textId="77777777" w:rsidR="00FC59DA" w:rsidRPr="00BB5D2A" w:rsidRDefault="00FC59DA" w:rsidP="00783872"/>
    <w:p w14:paraId="59AF5E53" w14:textId="77777777" w:rsidR="00783872" w:rsidRPr="00BB5D2A" w:rsidRDefault="00783872" w:rsidP="00783872">
      <w:pPr>
        <w:rPr>
          <w:b/>
        </w:rPr>
      </w:pPr>
      <w:r w:rsidRPr="00BB5D2A">
        <w:rPr>
          <w:b/>
        </w:rPr>
        <w:t xml:space="preserve">Meeting Schedule </w:t>
      </w:r>
    </w:p>
    <w:p w14:paraId="5129F82C" w14:textId="77777777" w:rsidR="00267ECC" w:rsidRPr="00BB5D2A" w:rsidRDefault="00BE1720" w:rsidP="00783872">
      <w:proofErr w:type="gramStart"/>
      <w:r w:rsidRPr="00BB5D2A">
        <w:t>Face-to-Face meeting on September 24 at Los Angeles Valley, or potentially Glendale or Orange Coast.</w:t>
      </w:r>
      <w:proofErr w:type="gramEnd"/>
      <w:r w:rsidRPr="00BB5D2A">
        <w:t xml:space="preserve"> </w:t>
      </w:r>
    </w:p>
    <w:p w14:paraId="696154D4" w14:textId="15BFEAC7" w:rsidR="00BE1720" w:rsidRPr="00BB5D2A" w:rsidRDefault="00267ECC" w:rsidP="00783872">
      <w:r w:rsidRPr="00BB5D2A">
        <w:t xml:space="preserve">ACTION: </w:t>
      </w:r>
      <w:r w:rsidR="00BE1720" w:rsidRPr="00BB5D2A">
        <w:t xml:space="preserve">Karen will confirm </w:t>
      </w:r>
      <w:r w:rsidR="0044196D" w:rsidRPr="00BB5D2A">
        <w:t>ASAP</w:t>
      </w:r>
      <w:r w:rsidR="00BE1720" w:rsidRPr="00BB5D2A">
        <w:t>.</w:t>
      </w:r>
    </w:p>
    <w:p w14:paraId="109E84DC" w14:textId="77777777" w:rsidR="00BE1720" w:rsidRPr="00BB5D2A" w:rsidRDefault="00BE1720" w:rsidP="00783872"/>
    <w:p w14:paraId="2C5BB281" w14:textId="69A22AAE" w:rsidR="00BE1720" w:rsidRPr="00BB5D2A" w:rsidRDefault="009C4DC4" w:rsidP="00783872">
      <w:r w:rsidRPr="00BB5D2A">
        <w:t>Phone meetings o</w:t>
      </w:r>
      <w:r w:rsidR="00BE1720" w:rsidRPr="00BB5D2A">
        <w:t xml:space="preserve">n </w:t>
      </w:r>
      <w:r w:rsidRPr="00BB5D2A">
        <w:t xml:space="preserve">Tuesday, </w:t>
      </w:r>
      <w:r w:rsidR="00BE1720" w:rsidRPr="00BB5D2A">
        <w:t xml:space="preserve">October </w:t>
      </w:r>
      <w:r w:rsidRPr="00BB5D2A">
        <w:t xml:space="preserve">18 at 8:30-9:30 </w:t>
      </w:r>
      <w:r w:rsidR="00BE1720" w:rsidRPr="00BB5D2A">
        <w:t xml:space="preserve">and </w:t>
      </w:r>
      <w:r w:rsidRPr="00BB5D2A">
        <w:t xml:space="preserve">Tuesday, </w:t>
      </w:r>
      <w:r w:rsidR="00BE1720" w:rsidRPr="00BB5D2A">
        <w:t>November</w:t>
      </w:r>
      <w:r w:rsidRPr="00BB5D2A">
        <w:t xml:space="preserve"> 15 at 8:30</w:t>
      </w:r>
      <w:r w:rsidR="00BB5D2A">
        <w:t>-10</w:t>
      </w:r>
      <w:bookmarkStart w:id="0" w:name="_GoBack"/>
      <w:bookmarkEnd w:id="0"/>
      <w:r w:rsidRPr="00BB5D2A">
        <w:t>am</w:t>
      </w:r>
      <w:r w:rsidR="00BE1720" w:rsidRPr="00BB5D2A">
        <w:t xml:space="preserve">. Remaining phone meetings will be scheduled at face-to-face meeting. </w:t>
      </w:r>
    </w:p>
    <w:p w14:paraId="5F31B2A0" w14:textId="77777777" w:rsidR="00BE1720" w:rsidRPr="00BB5D2A" w:rsidRDefault="00BE1720" w:rsidP="00783872"/>
    <w:p w14:paraId="2BCEC4A6" w14:textId="77777777" w:rsidR="00783872" w:rsidRPr="00BB5D2A" w:rsidRDefault="00783872" w:rsidP="00783872">
      <w:r w:rsidRPr="00BB5D2A">
        <w:t>Announcements</w:t>
      </w:r>
    </w:p>
    <w:p w14:paraId="21684540" w14:textId="760C1233" w:rsidR="00267ECC" w:rsidRPr="00BB5D2A" w:rsidRDefault="00267ECC" w:rsidP="00783872">
      <w:r w:rsidRPr="00BB5D2A">
        <w:t>No announcements</w:t>
      </w:r>
    </w:p>
    <w:p w14:paraId="38357667" w14:textId="77777777" w:rsidR="00267ECC" w:rsidRPr="00BB5D2A" w:rsidRDefault="00267ECC" w:rsidP="00783872">
      <w:pPr>
        <w:rPr>
          <w:b/>
        </w:rPr>
      </w:pPr>
    </w:p>
    <w:p w14:paraId="365AD318" w14:textId="77777777" w:rsidR="00783872" w:rsidRPr="00BB5D2A" w:rsidRDefault="00783872" w:rsidP="00783872">
      <w:pPr>
        <w:rPr>
          <w:b/>
        </w:rPr>
      </w:pPr>
      <w:r w:rsidRPr="00BB5D2A">
        <w:rPr>
          <w:b/>
        </w:rPr>
        <w:t>Upcoming Events:</w:t>
      </w:r>
    </w:p>
    <w:p w14:paraId="556121CD" w14:textId="77777777" w:rsidR="00783872" w:rsidRPr="00BB5D2A" w:rsidRDefault="00783872" w:rsidP="00783872">
      <w:r w:rsidRPr="00BB5D2A">
        <w:t xml:space="preserve">Executive Committee Meeting, San </w:t>
      </w:r>
      <w:proofErr w:type="spellStart"/>
      <w:r w:rsidRPr="00BB5D2A">
        <w:t>Bernadino</w:t>
      </w:r>
      <w:proofErr w:type="spellEnd"/>
      <w:r w:rsidRPr="00BB5D2A">
        <w:t xml:space="preserve"> Valley College, Friday 9 September 2016</w:t>
      </w:r>
    </w:p>
    <w:p w14:paraId="0A5A8666" w14:textId="77777777" w:rsidR="00783872" w:rsidRPr="00BB5D2A" w:rsidRDefault="00783872" w:rsidP="00783872">
      <w:r w:rsidRPr="00BB5D2A">
        <w:t>Executive Committee Meeting, American River College (Sacramento), Friday 30 September 2016</w:t>
      </w:r>
    </w:p>
    <w:p w14:paraId="4DE2B120" w14:textId="77777777" w:rsidR="00783872" w:rsidRPr="00BB5D2A" w:rsidRDefault="00783872" w:rsidP="00783872">
      <w:r w:rsidRPr="00BB5D2A">
        <w:t>Academic Academy, Westin South Coast Plaza, Friday and Saturday, 7-8 October 2016</w:t>
      </w:r>
    </w:p>
    <w:p w14:paraId="0CB1E9B3" w14:textId="77777777" w:rsidR="00783872" w:rsidRPr="00BB5D2A" w:rsidRDefault="00783872" w:rsidP="00783872">
      <w:r w:rsidRPr="00BB5D2A">
        <w:t>Area Meetings, 14-15 October 2016 (locations vary)</w:t>
      </w:r>
    </w:p>
    <w:p w14:paraId="205F4009" w14:textId="77777777" w:rsidR="00783872" w:rsidRPr="00BB5D2A" w:rsidRDefault="00783872" w:rsidP="00783872">
      <w:r w:rsidRPr="00BB5D2A">
        <w:t>Curriculum Regionals, 21-22 October 2016</w:t>
      </w:r>
    </w:p>
    <w:p w14:paraId="0128621B" w14:textId="77777777" w:rsidR="00783872" w:rsidRPr="00BB5D2A" w:rsidRDefault="00783872" w:rsidP="00783872">
      <w:r w:rsidRPr="00BB5D2A">
        <w:t>Executive Committee Meeting, Wednesday 2 November 2016, Westin South Coast Plaza</w:t>
      </w:r>
    </w:p>
    <w:p w14:paraId="05484834" w14:textId="77777777" w:rsidR="00783872" w:rsidRPr="00BB5D2A" w:rsidRDefault="00783872" w:rsidP="00783872">
      <w:r w:rsidRPr="00BB5D2A">
        <w:t>ASCCC Fall Plenary Session, Thursday – Saturday, 3-5 November 2016, Westin South Coast Plaza</w:t>
      </w:r>
    </w:p>
    <w:p w14:paraId="4106B4AE" w14:textId="77777777" w:rsidR="00783872" w:rsidRPr="00BB5D2A" w:rsidRDefault="00783872" w:rsidP="00783872">
      <w:r w:rsidRPr="00BB5D2A">
        <w:t>Other announcements?</w:t>
      </w:r>
    </w:p>
    <w:p w14:paraId="394E489E" w14:textId="77777777" w:rsidR="00783872" w:rsidRPr="00BB5D2A" w:rsidRDefault="00783872" w:rsidP="00783872"/>
    <w:p w14:paraId="0B44A1FB" w14:textId="77777777" w:rsidR="00783872" w:rsidRPr="00BB5D2A" w:rsidRDefault="00783872" w:rsidP="00783872">
      <w:r w:rsidRPr="00BB5D2A">
        <w:t>Adjournment</w:t>
      </w:r>
    </w:p>
    <w:p w14:paraId="6306BFB9" w14:textId="77777777" w:rsidR="00F67B69" w:rsidRPr="00BB5D2A" w:rsidRDefault="00F67B69" w:rsidP="00783872">
      <w:pPr>
        <w:rPr>
          <w:sz w:val="32"/>
          <w:szCs w:val="32"/>
        </w:rPr>
      </w:pPr>
    </w:p>
    <w:p w14:paraId="14F5F620" w14:textId="77777777" w:rsidR="00C0429D" w:rsidRPr="00BB5D2A" w:rsidRDefault="00C0429D" w:rsidP="00783872">
      <w:pPr>
        <w:rPr>
          <w:sz w:val="32"/>
          <w:szCs w:val="32"/>
        </w:rPr>
      </w:pPr>
      <w:r w:rsidRPr="00BB5D2A">
        <w:rPr>
          <w:sz w:val="32"/>
          <w:szCs w:val="32"/>
        </w:rPr>
        <w:t xml:space="preserve">Paper Assignments </w:t>
      </w:r>
    </w:p>
    <w:p w14:paraId="3AEFDBE7" w14:textId="77777777" w:rsidR="00C0429D" w:rsidRPr="00BB5D2A" w:rsidRDefault="00C0429D" w:rsidP="00C0429D">
      <w:pPr>
        <w:rPr>
          <w:sz w:val="32"/>
          <w:szCs w:val="32"/>
        </w:rPr>
      </w:pPr>
      <w:bookmarkStart w:id="1" w:name="toc_planningCOR"/>
    </w:p>
    <w:p w14:paraId="1ED40230" w14:textId="77777777" w:rsidR="00C0429D" w:rsidRPr="00BB5D2A" w:rsidRDefault="00BB5D2A" w:rsidP="00C0429D">
      <w:pPr>
        <w:rPr>
          <w:rFonts w:asciiTheme="majorHAnsi" w:hAnsiTheme="majorHAnsi"/>
        </w:rPr>
      </w:pPr>
      <w:hyperlink w:anchor="planningCOR" w:history="1">
        <w:r w:rsidR="00C0429D" w:rsidRPr="00BB5D2A">
          <w:rPr>
            <w:rFonts w:asciiTheme="majorHAnsi" w:hAnsiTheme="majorHAnsi"/>
          </w:rPr>
          <w:t>Planning the Course Outline of Record</w:t>
        </w:r>
      </w:hyperlink>
      <w:bookmarkStart w:id="2" w:name="toc_considerations"/>
      <w:bookmarkEnd w:id="1"/>
      <w:bookmarkEnd w:id="2"/>
    </w:p>
    <w:p w14:paraId="4664BA0A" w14:textId="77777777" w:rsidR="00C0429D" w:rsidRPr="00BB5D2A" w:rsidRDefault="00BB5D2A" w:rsidP="00C0429D">
      <w:pPr>
        <w:pStyle w:val="ListParagraph"/>
        <w:widowControl/>
        <w:numPr>
          <w:ilvl w:val="0"/>
          <w:numId w:val="3"/>
        </w:numPr>
        <w:autoSpaceDE/>
        <w:autoSpaceDN/>
        <w:adjustRightInd/>
        <w:rPr>
          <w:rFonts w:asciiTheme="majorHAnsi" w:hAnsiTheme="majorHAnsi"/>
        </w:rPr>
      </w:pPr>
      <w:hyperlink w:anchor="considerations" w:history="1">
        <w:r w:rsidR="00C0429D" w:rsidRPr="00BB5D2A">
          <w:rPr>
            <w:rFonts w:asciiTheme="majorHAnsi" w:hAnsiTheme="majorHAnsi"/>
          </w:rPr>
          <w:t>Initial Considerations</w:t>
        </w:r>
      </w:hyperlink>
      <w:bookmarkStart w:id="3" w:name="toc_integrated"/>
      <w:bookmarkEnd w:id="3"/>
    </w:p>
    <w:p w14:paraId="2141D9DE" w14:textId="77777777" w:rsidR="00C0429D" w:rsidRPr="00BB5D2A" w:rsidRDefault="00BB5D2A" w:rsidP="00C0429D">
      <w:pPr>
        <w:pStyle w:val="ListParagraph"/>
        <w:widowControl/>
        <w:numPr>
          <w:ilvl w:val="0"/>
          <w:numId w:val="3"/>
        </w:numPr>
        <w:autoSpaceDE/>
        <w:autoSpaceDN/>
        <w:adjustRightInd/>
        <w:rPr>
          <w:rFonts w:asciiTheme="majorHAnsi" w:hAnsiTheme="majorHAnsi"/>
        </w:rPr>
      </w:pPr>
      <w:hyperlink w:anchor="integrated" w:history="1">
        <w:r w:rsidR="00C0429D" w:rsidRPr="00BB5D2A">
          <w:rPr>
            <w:rFonts w:asciiTheme="majorHAnsi" w:hAnsiTheme="majorHAnsi"/>
          </w:rPr>
          <w:t>Writing an Integrated Course Outline</w:t>
        </w:r>
      </w:hyperlink>
    </w:p>
    <w:bookmarkStart w:id="4" w:name="toc_tools"/>
    <w:bookmarkEnd w:id="4"/>
    <w:p w14:paraId="764FD104" w14:textId="77777777" w:rsidR="00C0429D" w:rsidRPr="00BB5D2A" w:rsidRDefault="00C0429D" w:rsidP="00C0429D">
      <w:pPr>
        <w:pStyle w:val="ListParagraph"/>
        <w:widowControl/>
        <w:numPr>
          <w:ilvl w:val="0"/>
          <w:numId w:val="3"/>
        </w:numPr>
        <w:autoSpaceDE/>
        <w:autoSpaceDN/>
        <w:adjustRightInd/>
        <w:rPr>
          <w:rFonts w:asciiTheme="majorHAnsi" w:hAnsiTheme="majorHAnsi"/>
        </w:rPr>
      </w:pPr>
      <w:r w:rsidRPr="00BB5D2A">
        <w:rPr>
          <w:rFonts w:asciiTheme="majorHAnsi" w:hAnsiTheme="majorHAnsi"/>
        </w:rPr>
        <w:fldChar w:fldCharType="begin"/>
      </w:r>
      <w:r w:rsidRPr="00BB5D2A">
        <w:rPr>
          <w:rFonts w:asciiTheme="majorHAnsi" w:hAnsiTheme="majorHAnsi"/>
        </w:rPr>
        <w:instrText xml:space="preserve"> HYPERLINK  \l "tools" </w:instrText>
      </w:r>
      <w:r w:rsidRPr="00BB5D2A">
        <w:rPr>
          <w:rFonts w:asciiTheme="majorHAnsi" w:hAnsiTheme="majorHAnsi"/>
        </w:rPr>
        <w:fldChar w:fldCharType="separate"/>
      </w:r>
      <w:r w:rsidRPr="00BB5D2A">
        <w:rPr>
          <w:rFonts w:asciiTheme="majorHAnsi" w:hAnsiTheme="majorHAnsi"/>
        </w:rPr>
        <w:t>Resources for the Developer</w:t>
      </w:r>
      <w:r w:rsidRPr="00BB5D2A">
        <w:rPr>
          <w:rFonts w:asciiTheme="majorHAnsi" w:hAnsiTheme="majorHAnsi"/>
        </w:rPr>
        <w:fldChar w:fldCharType="end"/>
      </w:r>
    </w:p>
    <w:p w14:paraId="6F128F92" w14:textId="77777777" w:rsidR="00C0429D" w:rsidRPr="00BB5D2A" w:rsidRDefault="00C0429D" w:rsidP="00C0429D">
      <w:pPr>
        <w:pStyle w:val="ListParagraph"/>
        <w:rPr>
          <w:rFonts w:asciiTheme="majorHAnsi" w:hAnsiTheme="majorHAnsi"/>
        </w:rPr>
      </w:pPr>
    </w:p>
    <w:bookmarkStart w:id="5" w:name="toc_components"/>
    <w:p w14:paraId="361ABD77" w14:textId="77777777" w:rsidR="00C0429D" w:rsidRPr="00BB5D2A" w:rsidRDefault="00C0429D" w:rsidP="00C0429D">
      <w:pPr>
        <w:rPr>
          <w:rFonts w:asciiTheme="majorHAnsi" w:hAnsiTheme="majorHAnsi"/>
        </w:rPr>
      </w:pPr>
      <w:r w:rsidRPr="00BB5D2A">
        <w:rPr>
          <w:rFonts w:asciiTheme="majorHAnsi" w:hAnsiTheme="majorHAnsi"/>
        </w:rPr>
        <w:fldChar w:fldCharType="begin"/>
      </w:r>
      <w:r w:rsidRPr="00BB5D2A">
        <w:rPr>
          <w:rFonts w:asciiTheme="majorHAnsi" w:hAnsiTheme="majorHAnsi"/>
        </w:rPr>
        <w:instrText xml:space="preserve"> HYPERLINK  \l "components" </w:instrText>
      </w:r>
      <w:r w:rsidRPr="00BB5D2A">
        <w:rPr>
          <w:rFonts w:asciiTheme="majorHAnsi" w:hAnsiTheme="majorHAnsi"/>
        </w:rPr>
        <w:fldChar w:fldCharType="separate"/>
      </w:r>
      <w:r w:rsidRPr="00BB5D2A">
        <w:rPr>
          <w:rFonts w:asciiTheme="majorHAnsi" w:hAnsiTheme="majorHAnsi"/>
        </w:rPr>
        <w:t>Components of a Course Outline of Record</w:t>
      </w:r>
      <w:bookmarkEnd w:id="5"/>
      <w:r w:rsidRPr="00BB5D2A">
        <w:rPr>
          <w:rFonts w:asciiTheme="majorHAnsi" w:hAnsiTheme="majorHAnsi"/>
        </w:rPr>
        <w:fldChar w:fldCharType="end"/>
      </w:r>
    </w:p>
    <w:bookmarkStart w:id="6" w:name="toc_all_courses_required"/>
    <w:bookmarkEnd w:id="6"/>
    <w:p w14:paraId="3AE34796" w14:textId="77777777" w:rsidR="00C0429D" w:rsidRPr="00BB5D2A" w:rsidRDefault="00C0429D" w:rsidP="00C0429D">
      <w:pPr>
        <w:pStyle w:val="ListParagraph"/>
        <w:widowControl/>
        <w:numPr>
          <w:ilvl w:val="0"/>
          <w:numId w:val="4"/>
        </w:numPr>
        <w:autoSpaceDE/>
        <w:autoSpaceDN/>
        <w:adjustRightInd/>
        <w:rPr>
          <w:rFonts w:asciiTheme="majorHAnsi" w:hAnsiTheme="majorHAnsi"/>
        </w:rPr>
      </w:pPr>
      <w:r w:rsidRPr="00BB5D2A">
        <w:rPr>
          <w:rFonts w:asciiTheme="majorHAnsi" w:hAnsiTheme="majorHAnsi"/>
        </w:rPr>
        <w:fldChar w:fldCharType="begin"/>
      </w:r>
      <w:r w:rsidRPr="00BB5D2A">
        <w:rPr>
          <w:rFonts w:asciiTheme="majorHAnsi" w:hAnsiTheme="majorHAnsi"/>
        </w:rPr>
        <w:instrText xml:space="preserve"> HYPERLINK  \l "all_courses_required" </w:instrText>
      </w:r>
      <w:r w:rsidRPr="00BB5D2A">
        <w:rPr>
          <w:rFonts w:asciiTheme="majorHAnsi" w:hAnsiTheme="majorHAnsi"/>
        </w:rPr>
        <w:fldChar w:fldCharType="separate"/>
      </w:r>
      <w:r w:rsidRPr="00BB5D2A">
        <w:rPr>
          <w:rFonts w:asciiTheme="majorHAnsi" w:hAnsiTheme="majorHAnsi"/>
        </w:rPr>
        <w:t>Elements that Apply to all Credit and Noncredit Courses</w:t>
      </w:r>
      <w:r w:rsidRPr="00BB5D2A">
        <w:rPr>
          <w:rFonts w:asciiTheme="majorHAnsi" w:hAnsiTheme="majorHAnsi"/>
        </w:rPr>
        <w:fldChar w:fldCharType="end"/>
      </w:r>
      <w:r w:rsidRPr="00BB5D2A">
        <w:rPr>
          <w:rFonts w:asciiTheme="majorHAnsi" w:hAnsiTheme="majorHAnsi"/>
        </w:rPr>
        <w:t xml:space="preserve"> </w:t>
      </w:r>
      <w:bookmarkStart w:id="7" w:name="toc_all_needs"/>
      <w:bookmarkEnd w:id="7"/>
    </w:p>
    <w:p w14:paraId="3C3E18AA" w14:textId="77777777" w:rsidR="00C0429D" w:rsidRPr="00BB5D2A" w:rsidRDefault="00BB5D2A" w:rsidP="00C0429D">
      <w:pPr>
        <w:pStyle w:val="ListParagraph"/>
        <w:widowControl/>
        <w:numPr>
          <w:ilvl w:val="1"/>
          <w:numId w:val="4"/>
        </w:numPr>
        <w:autoSpaceDE/>
        <w:autoSpaceDN/>
        <w:adjustRightInd/>
        <w:rPr>
          <w:rFonts w:asciiTheme="majorHAnsi" w:hAnsiTheme="majorHAnsi"/>
        </w:rPr>
      </w:pPr>
      <w:hyperlink w:anchor="a1c_need" w:history="1">
        <w:r w:rsidR="00C0429D" w:rsidRPr="00BB5D2A">
          <w:rPr>
            <w:rFonts w:asciiTheme="majorHAnsi" w:hAnsiTheme="majorHAnsi"/>
          </w:rPr>
          <w:t>Needs justification</w:t>
        </w:r>
      </w:hyperlink>
      <w:r w:rsidR="00C0429D" w:rsidRPr="00BB5D2A">
        <w:rPr>
          <w:rFonts w:asciiTheme="majorHAnsi" w:hAnsiTheme="majorHAnsi"/>
        </w:rPr>
        <w:t xml:space="preserve"> </w:t>
      </w:r>
      <w:bookmarkStart w:id="8" w:name="toc_all_data"/>
      <w:bookmarkEnd w:id="8"/>
    </w:p>
    <w:p w14:paraId="3544FD10" w14:textId="77777777" w:rsidR="00C0429D" w:rsidRPr="00BB5D2A" w:rsidRDefault="00BB5D2A" w:rsidP="00C0429D">
      <w:pPr>
        <w:pStyle w:val="ListParagraph"/>
        <w:widowControl/>
        <w:numPr>
          <w:ilvl w:val="1"/>
          <w:numId w:val="4"/>
        </w:numPr>
        <w:autoSpaceDE/>
        <w:autoSpaceDN/>
        <w:adjustRightInd/>
        <w:rPr>
          <w:rFonts w:asciiTheme="majorHAnsi" w:hAnsiTheme="majorHAnsi"/>
        </w:rPr>
      </w:pPr>
      <w:hyperlink w:anchor="a1c_data" w:history="1">
        <w:r w:rsidR="00C0429D" w:rsidRPr="00BB5D2A">
          <w:rPr>
            <w:rFonts w:asciiTheme="majorHAnsi" w:hAnsiTheme="majorHAnsi"/>
          </w:rPr>
          <w:t>Chancellor’s Office data elements</w:t>
        </w:r>
      </w:hyperlink>
      <w:r w:rsidR="00C0429D" w:rsidRPr="00BB5D2A">
        <w:rPr>
          <w:rFonts w:asciiTheme="majorHAnsi" w:hAnsiTheme="majorHAnsi"/>
        </w:rPr>
        <w:t xml:space="preserve"> </w:t>
      </w:r>
    </w:p>
    <w:p w14:paraId="32AD1758" w14:textId="77777777" w:rsidR="00C0429D" w:rsidRPr="00BB5D2A" w:rsidRDefault="00BB5D2A" w:rsidP="00C0429D">
      <w:pPr>
        <w:pStyle w:val="ListParagraph"/>
        <w:widowControl/>
        <w:numPr>
          <w:ilvl w:val="1"/>
          <w:numId w:val="4"/>
        </w:numPr>
        <w:autoSpaceDE/>
        <w:autoSpaceDN/>
        <w:adjustRightInd/>
        <w:rPr>
          <w:rFonts w:asciiTheme="majorHAnsi" w:hAnsiTheme="majorHAnsi"/>
        </w:rPr>
      </w:pPr>
      <w:hyperlink w:anchor="a1c_cstandards" w:history="1">
        <w:bookmarkStart w:id="9" w:name="toc_standards"/>
        <w:bookmarkEnd w:id="9"/>
        <w:r w:rsidR="00C0429D" w:rsidRPr="00BB5D2A">
          <w:rPr>
            <w:rFonts w:asciiTheme="majorHAnsi" w:hAnsiTheme="majorHAnsi"/>
          </w:rPr>
          <w:t>Title 5 – standards for approval</w:t>
        </w:r>
      </w:hyperlink>
      <w:bookmarkStart w:id="10" w:name="toc_all_discipline"/>
      <w:bookmarkEnd w:id="10"/>
    </w:p>
    <w:p w14:paraId="35655E37" w14:textId="77777777" w:rsidR="00C0429D" w:rsidRPr="00BB5D2A" w:rsidRDefault="00BB5D2A" w:rsidP="00C0429D">
      <w:pPr>
        <w:pStyle w:val="ListParagraph"/>
        <w:widowControl/>
        <w:numPr>
          <w:ilvl w:val="1"/>
          <w:numId w:val="4"/>
        </w:numPr>
        <w:autoSpaceDE/>
        <w:autoSpaceDN/>
        <w:adjustRightInd/>
        <w:rPr>
          <w:rFonts w:asciiTheme="majorHAnsi" w:hAnsiTheme="majorHAnsi"/>
        </w:rPr>
      </w:pPr>
      <w:hyperlink w:anchor="a1c_discipline" w:history="1">
        <w:r w:rsidR="00C0429D" w:rsidRPr="00BB5D2A">
          <w:rPr>
            <w:rFonts w:asciiTheme="majorHAnsi" w:hAnsiTheme="majorHAnsi"/>
          </w:rPr>
          <w:t>Discipline assignment</w:t>
        </w:r>
      </w:hyperlink>
      <w:r w:rsidR="00C0429D" w:rsidRPr="00BB5D2A">
        <w:rPr>
          <w:rFonts w:asciiTheme="majorHAnsi" w:hAnsiTheme="majorHAnsi"/>
        </w:rPr>
        <w:t xml:space="preserve"> </w:t>
      </w:r>
    </w:p>
    <w:p w14:paraId="0CDC3641" w14:textId="77777777" w:rsidR="00C0429D" w:rsidRPr="00BB5D2A" w:rsidRDefault="00C0429D" w:rsidP="00C0429D">
      <w:pPr>
        <w:rPr>
          <w:rFonts w:asciiTheme="majorHAnsi" w:hAnsiTheme="majorHAnsi"/>
        </w:rPr>
      </w:pPr>
      <w:bookmarkStart w:id="11" w:name="toc_credit_courses"/>
      <w:bookmarkEnd w:id="11"/>
    </w:p>
    <w:p w14:paraId="771A2005" w14:textId="77777777" w:rsidR="00C0429D" w:rsidRPr="00BB5D2A" w:rsidRDefault="00BB5D2A" w:rsidP="00C0429D">
      <w:pPr>
        <w:rPr>
          <w:rFonts w:asciiTheme="majorHAnsi" w:hAnsiTheme="majorHAnsi"/>
          <w:color w:val="FF0000"/>
        </w:rPr>
      </w:pPr>
      <w:hyperlink w:anchor="credit_courses" w:history="1">
        <w:r w:rsidR="00C0429D" w:rsidRPr="00BB5D2A">
          <w:rPr>
            <w:rFonts w:asciiTheme="majorHAnsi" w:hAnsiTheme="majorHAnsi"/>
          </w:rPr>
          <w:t>Elements that Apply to Credit Courses</w:t>
        </w:r>
      </w:hyperlink>
      <w:r w:rsidR="00C0429D" w:rsidRPr="00BB5D2A">
        <w:rPr>
          <w:rFonts w:asciiTheme="majorHAnsi" w:hAnsiTheme="majorHAnsi"/>
          <w:color w:val="FF0000"/>
        </w:rPr>
        <w:t xml:space="preserve"> </w:t>
      </w:r>
      <w:bookmarkStart w:id="12" w:name="toc_credunits"/>
      <w:bookmarkEnd w:id="12"/>
    </w:p>
    <w:p w14:paraId="404B59CD"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units" w:history="1">
        <w:r w:rsidR="00C0429D" w:rsidRPr="00BB5D2A">
          <w:rPr>
            <w:rFonts w:asciiTheme="majorHAnsi" w:hAnsiTheme="majorHAnsi"/>
          </w:rPr>
          <w:t>Unit value</w:t>
        </w:r>
      </w:hyperlink>
      <w:bookmarkStart w:id="13" w:name="toc_credcontact"/>
      <w:bookmarkEnd w:id="13"/>
      <w:r w:rsidR="00C0429D" w:rsidRPr="00BB5D2A">
        <w:rPr>
          <w:rFonts w:asciiTheme="majorHAnsi" w:hAnsiTheme="majorHAnsi"/>
        </w:rPr>
        <w:t xml:space="preserve"> – </w:t>
      </w:r>
      <w:r w:rsidR="00C0429D" w:rsidRPr="00BB5D2A">
        <w:rPr>
          <w:rFonts w:asciiTheme="majorHAnsi" w:hAnsiTheme="majorHAnsi"/>
          <w:color w:val="FF0000"/>
        </w:rPr>
        <w:t>Integrate the unit calculation method in the 6</w:t>
      </w:r>
      <w:r w:rsidR="00C0429D" w:rsidRPr="00BB5D2A">
        <w:rPr>
          <w:rFonts w:asciiTheme="majorHAnsi" w:hAnsiTheme="majorHAnsi"/>
          <w:color w:val="FF0000"/>
          <w:vertAlign w:val="superscript"/>
        </w:rPr>
        <w:t>th</w:t>
      </w:r>
      <w:r w:rsidR="00C0429D" w:rsidRPr="00BB5D2A">
        <w:rPr>
          <w:rFonts w:asciiTheme="majorHAnsi" w:hAnsiTheme="majorHAnsi"/>
          <w:color w:val="FF0000"/>
        </w:rPr>
        <w:t xml:space="preserve"> edition PCAH/October 2015 memo, expand on unit calculation scenarios and effective practices, US Department of Education definition of the credit hour.  </w:t>
      </w:r>
    </w:p>
    <w:p w14:paraId="25C0DC39"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contacthours" w:history="1">
        <w:r w:rsidR="00C0429D" w:rsidRPr="00BB5D2A">
          <w:rPr>
            <w:rFonts w:asciiTheme="majorHAnsi" w:hAnsiTheme="majorHAnsi"/>
          </w:rPr>
          <w:t>Contact hours</w:t>
        </w:r>
      </w:hyperlink>
      <w:r w:rsidR="00C0429D" w:rsidRPr="00BB5D2A">
        <w:rPr>
          <w:rFonts w:asciiTheme="majorHAnsi" w:hAnsiTheme="majorHAnsi"/>
        </w:rPr>
        <w:tab/>
      </w:r>
      <w:bookmarkStart w:id="14" w:name="toc_credrequisites"/>
      <w:bookmarkEnd w:id="14"/>
    </w:p>
    <w:p w14:paraId="72CD4CDF"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prereq" w:history="1">
        <w:r w:rsidR="00C0429D" w:rsidRPr="00BB5D2A">
          <w:rPr>
            <w:rFonts w:asciiTheme="majorHAnsi" w:hAnsiTheme="majorHAnsi"/>
          </w:rPr>
          <w:t>Pre/co-requisites/advisories</w:t>
        </w:r>
      </w:hyperlink>
      <w:bookmarkStart w:id="15" w:name="toc_credcatalog"/>
      <w:bookmarkEnd w:id="15"/>
      <w:r w:rsidR="00C0429D" w:rsidRPr="00BB5D2A">
        <w:rPr>
          <w:rFonts w:asciiTheme="majorHAnsi" w:hAnsiTheme="majorHAnsi"/>
        </w:rPr>
        <w:t xml:space="preserve"> </w:t>
      </w:r>
      <w:r w:rsidR="00C0429D" w:rsidRPr="00BB5D2A">
        <w:rPr>
          <w:rFonts w:asciiTheme="majorHAnsi" w:hAnsiTheme="majorHAnsi"/>
          <w:color w:val="FF0000"/>
        </w:rPr>
        <w:t>and other limitations on enrollment</w:t>
      </w:r>
    </w:p>
    <w:p w14:paraId="490B02DE"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catalog" w:history="1">
        <w:r w:rsidR="00C0429D" w:rsidRPr="00BB5D2A">
          <w:rPr>
            <w:rFonts w:asciiTheme="majorHAnsi" w:hAnsiTheme="majorHAnsi"/>
          </w:rPr>
          <w:t>Catalog description</w:t>
        </w:r>
      </w:hyperlink>
      <w:bookmarkStart w:id="16" w:name="toc_credobjectives"/>
      <w:bookmarkEnd w:id="16"/>
    </w:p>
    <w:p w14:paraId="4679E23A"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objectives" w:history="1">
        <w:r w:rsidR="00C0429D" w:rsidRPr="00BB5D2A">
          <w:rPr>
            <w:rFonts w:asciiTheme="majorHAnsi" w:hAnsiTheme="majorHAnsi"/>
          </w:rPr>
          <w:t>Objectives</w:t>
        </w:r>
      </w:hyperlink>
      <w:bookmarkStart w:id="17" w:name="toc_credcontent"/>
      <w:bookmarkEnd w:id="17"/>
    </w:p>
    <w:p w14:paraId="4CE8B445" w14:textId="77777777" w:rsidR="00C0429D" w:rsidRPr="00BB5D2A" w:rsidRDefault="00C0429D" w:rsidP="00C0429D">
      <w:pPr>
        <w:pStyle w:val="ListParagraph"/>
        <w:widowControl/>
        <w:numPr>
          <w:ilvl w:val="1"/>
          <w:numId w:val="4"/>
        </w:numPr>
        <w:autoSpaceDE/>
        <w:autoSpaceDN/>
        <w:adjustRightInd/>
        <w:rPr>
          <w:rFonts w:asciiTheme="majorHAnsi" w:hAnsiTheme="majorHAnsi"/>
        </w:rPr>
      </w:pPr>
      <w:r w:rsidRPr="00BB5D2A">
        <w:rPr>
          <w:rFonts w:asciiTheme="majorHAnsi" w:hAnsiTheme="majorHAnsi"/>
          <w:color w:val="FF0000"/>
        </w:rPr>
        <w:t xml:space="preserve"> Relation to Student Learning Outcomes as defined in 2010 Glossary, include reference to 2014 ACCJC standards</w:t>
      </w:r>
    </w:p>
    <w:p w14:paraId="165895CF"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content" w:history="1">
        <w:r w:rsidR="00C0429D" w:rsidRPr="00BB5D2A">
          <w:rPr>
            <w:rFonts w:asciiTheme="majorHAnsi" w:hAnsiTheme="majorHAnsi"/>
          </w:rPr>
          <w:t>Content</w:t>
        </w:r>
      </w:hyperlink>
      <w:bookmarkStart w:id="18" w:name="toc_credinstruction"/>
      <w:bookmarkEnd w:id="18"/>
      <w:r w:rsidR="00C0429D" w:rsidRPr="00BB5D2A">
        <w:rPr>
          <w:rFonts w:asciiTheme="majorHAnsi" w:hAnsiTheme="majorHAnsi"/>
          <w:color w:val="FF0000"/>
        </w:rPr>
        <w:t>, including distinguishing between levels within families</w:t>
      </w:r>
    </w:p>
    <w:p w14:paraId="5F77D866"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instruction" w:history="1">
        <w:r w:rsidR="00C0429D" w:rsidRPr="00BB5D2A">
          <w:rPr>
            <w:rFonts w:asciiTheme="majorHAnsi" w:hAnsiTheme="majorHAnsi"/>
          </w:rPr>
          <w:t>Methods of Instruction</w:t>
        </w:r>
      </w:hyperlink>
      <w:bookmarkStart w:id="19" w:name="toc_credeval"/>
      <w:bookmarkEnd w:id="19"/>
    </w:p>
    <w:p w14:paraId="13B5B5B9"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evaluation" w:history="1">
        <w:r w:rsidR="00C0429D" w:rsidRPr="00BB5D2A">
          <w:rPr>
            <w:rFonts w:asciiTheme="majorHAnsi" w:hAnsiTheme="majorHAnsi"/>
          </w:rPr>
          <w:t>Methods of evaluation</w:t>
        </w:r>
      </w:hyperlink>
      <w:bookmarkStart w:id="20" w:name="toc_credwriting"/>
      <w:bookmarkEnd w:id="20"/>
      <w:r w:rsidR="00C0429D" w:rsidRPr="00BB5D2A">
        <w:rPr>
          <w:rFonts w:asciiTheme="majorHAnsi" w:hAnsiTheme="majorHAnsi"/>
        </w:rPr>
        <w:t xml:space="preserve"> </w:t>
      </w:r>
      <w:r w:rsidR="00C0429D" w:rsidRPr="00BB5D2A">
        <w:rPr>
          <w:rFonts w:asciiTheme="majorHAnsi" w:hAnsiTheme="majorHAnsi"/>
          <w:color w:val="FF0000"/>
        </w:rPr>
        <w:t>and course grading policies (letter grade vs. P/NP)</w:t>
      </w:r>
    </w:p>
    <w:p w14:paraId="3D092691"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writing" w:history="1">
        <w:r w:rsidR="00C0429D" w:rsidRPr="00BB5D2A">
          <w:rPr>
            <w:rFonts w:asciiTheme="majorHAnsi" w:hAnsiTheme="majorHAnsi"/>
          </w:rPr>
          <w:t>Assignments</w:t>
        </w:r>
      </w:hyperlink>
      <w:bookmarkStart w:id="21" w:name="toc_credreading"/>
      <w:bookmarkEnd w:id="21"/>
    </w:p>
    <w:p w14:paraId="23195089" w14:textId="77777777" w:rsidR="00C0429D" w:rsidRPr="00BB5D2A" w:rsidRDefault="00BB5D2A" w:rsidP="00C0429D">
      <w:pPr>
        <w:pStyle w:val="ListParagraph"/>
        <w:widowControl/>
        <w:numPr>
          <w:ilvl w:val="0"/>
          <w:numId w:val="4"/>
        </w:numPr>
        <w:autoSpaceDE/>
        <w:autoSpaceDN/>
        <w:adjustRightInd/>
        <w:rPr>
          <w:rFonts w:asciiTheme="majorHAnsi" w:hAnsiTheme="majorHAnsi"/>
        </w:rPr>
      </w:pPr>
      <w:hyperlink w:anchor="a1c_crequired" w:history="1">
        <w:r w:rsidR="00C0429D" w:rsidRPr="00BB5D2A">
          <w:rPr>
            <w:rFonts w:asciiTheme="majorHAnsi" w:hAnsiTheme="majorHAnsi"/>
          </w:rPr>
          <w:t>Required texts and other instructional materials</w:t>
        </w:r>
      </w:hyperlink>
    </w:p>
    <w:p w14:paraId="1D3352AA" w14:textId="77777777" w:rsidR="00C0429D" w:rsidRPr="00BB5D2A" w:rsidRDefault="00C0429D" w:rsidP="00C0429D">
      <w:pPr>
        <w:pStyle w:val="ListParagraph"/>
        <w:widowControl/>
        <w:numPr>
          <w:ilvl w:val="0"/>
          <w:numId w:val="4"/>
        </w:numPr>
        <w:autoSpaceDE/>
        <w:autoSpaceDN/>
        <w:adjustRightInd/>
        <w:rPr>
          <w:rFonts w:asciiTheme="majorHAnsi" w:hAnsiTheme="majorHAnsi"/>
        </w:rPr>
      </w:pPr>
      <w:r w:rsidRPr="00BB5D2A">
        <w:rPr>
          <w:rFonts w:asciiTheme="majorHAnsi" w:hAnsiTheme="majorHAnsi"/>
          <w:color w:val="FF0000"/>
        </w:rPr>
        <w:t>Determining levels below graduation/transfer - CB 21 coding rubrics</w:t>
      </w:r>
    </w:p>
    <w:p w14:paraId="54F714C1" w14:textId="77777777" w:rsidR="00C0429D" w:rsidRPr="00BB5D2A" w:rsidRDefault="00C0429D" w:rsidP="00C0429D">
      <w:pPr>
        <w:pStyle w:val="ListParagraph"/>
        <w:rPr>
          <w:rFonts w:asciiTheme="majorHAnsi" w:hAnsiTheme="majorHAnsi"/>
        </w:rPr>
      </w:pPr>
    </w:p>
    <w:bookmarkStart w:id="22" w:name="toc_noncredit_courses"/>
    <w:bookmarkEnd w:id="22"/>
    <w:p w14:paraId="25E41784" w14:textId="77777777" w:rsidR="00C0429D" w:rsidRPr="00BB5D2A" w:rsidRDefault="00C0429D" w:rsidP="00C0429D">
      <w:pPr>
        <w:rPr>
          <w:rFonts w:asciiTheme="majorHAnsi" w:hAnsiTheme="majorHAnsi"/>
        </w:rPr>
      </w:pPr>
      <w:r w:rsidRPr="00BB5D2A">
        <w:rPr>
          <w:rFonts w:asciiTheme="majorHAnsi" w:hAnsiTheme="majorHAnsi"/>
        </w:rPr>
        <w:fldChar w:fldCharType="begin"/>
      </w:r>
      <w:r w:rsidRPr="00BB5D2A">
        <w:rPr>
          <w:rFonts w:asciiTheme="majorHAnsi" w:hAnsiTheme="majorHAnsi"/>
        </w:rPr>
        <w:instrText xml:space="preserve"> HYPERLINK  \l "noncredit_courses" </w:instrText>
      </w:r>
      <w:r w:rsidRPr="00BB5D2A">
        <w:rPr>
          <w:rFonts w:asciiTheme="majorHAnsi" w:hAnsiTheme="majorHAnsi"/>
        </w:rPr>
        <w:fldChar w:fldCharType="separate"/>
      </w:r>
      <w:r w:rsidRPr="00BB5D2A">
        <w:rPr>
          <w:rFonts w:asciiTheme="majorHAnsi" w:hAnsiTheme="majorHAnsi"/>
        </w:rPr>
        <w:t>Elements that Apply to Noncredit Courses</w:t>
      </w:r>
      <w:r w:rsidRPr="00BB5D2A">
        <w:rPr>
          <w:rFonts w:asciiTheme="majorHAnsi" w:hAnsiTheme="majorHAnsi"/>
        </w:rPr>
        <w:fldChar w:fldCharType="end"/>
      </w:r>
      <w:r w:rsidRPr="00BB5D2A">
        <w:rPr>
          <w:rFonts w:asciiTheme="majorHAnsi" w:hAnsiTheme="majorHAnsi"/>
        </w:rPr>
        <w:tab/>
      </w:r>
    </w:p>
    <w:bookmarkStart w:id="23" w:name="toc_noncontact"/>
    <w:bookmarkEnd w:id="23"/>
    <w:p w14:paraId="3A66EFE8" w14:textId="77777777" w:rsidR="00C0429D" w:rsidRPr="00BB5D2A" w:rsidRDefault="00C0429D" w:rsidP="00C0429D">
      <w:pPr>
        <w:pStyle w:val="ListParagraph"/>
        <w:widowControl/>
        <w:numPr>
          <w:ilvl w:val="0"/>
          <w:numId w:val="5"/>
        </w:numPr>
        <w:autoSpaceDE/>
        <w:autoSpaceDN/>
        <w:adjustRightInd/>
        <w:rPr>
          <w:rFonts w:asciiTheme="majorHAnsi" w:hAnsiTheme="majorHAnsi"/>
        </w:rPr>
      </w:pPr>
      <w:r w:rsidRPr="00BB5D2A">
        <w:rPr>
          <w:rFonts w:asciiTheme="majorHAnsi" w:hAnsiTheme="majorHAnsi"/>
        </w:rPr>
        <w:fldChar w:fldCharType="begin"/>
      </w:r>
      <w:r w:rsidRPr="00BB5D2A">
        <w:rPr>
          <w:rFonts w:asciiTheme="majorHAnsi" w:hAnsiTheme="majorHAnsi"/>
        </w:rPr>
        <w:instrText xml:space="preserve"> HYPERLINK  \l "a1c_nccontact" </w:instrText>
      </w:r>
      <w:r w:rsidRPr="00BB5D2A">
        <w:rPr>
          <w:rFonts w:asciiTheme="majorHAnsi" w:hAnsiTheme="majorHAnsi"/>
        </w:rPr>
        <w:fldChar w:fldCharType="separate"/>
      </w:r>
      <w:r w:rsidRPr="00BB5D2A">
        <w:rPr>
          <w:rFonts w:asciiTheme="majorHAnsi" w:hAnsiTheme="majorHAnsi"/>
        </w:rPr>
        <w:t>Contact hours</w:t>
      </w:r>
      <w:r w:rsidRPr="00BB5D2A">
        <w:rPr>
          <w:rFonts w:asciiTheme="majorHAnsi" w:hAnsiTheme="majorHAnsi"/>
        </w:rPr>
        <w:fldChar w:fldCharType="end"/>
      </w:r>
      <w:r w:rsidRPr="00BB5D2A">
        <w:rPr>
          <w:rFonts w:asciiTheme="majorHAnsi" w:hAnsiTheme="majorHAnsi"/>
        </w:rPr>
        <w:t xml:space="preserve"> </w:t>
      </w:r>
      <w:bookmarkStart w:id="24" w:name="toc_noncatalog"/>
      <w:bookmarkEnd w:id="24"/>
    </w:p>
    <w:p w14:paraId="1A0E5FAA" w14:textId="77777777" w:rsidR="00C0429D" w:rsidRPr="00BB5D2A" w:rsidRDefault="00BB5D2A" w:rsidP="00C0429D">
      <w:pPr>
        <w:pStyle w:val="ListParagraph"/>
        <w:widowControl/>
        <w:numPr>
          <w:ilvl w:val="0"/>
          <w:numId w:val="5"/>
        </w:numPr>
        <w:autoSpaceDE/>
        <w:autoSpaceDN/>
        <w:adjustRightInd/>
        <w:rPr>
          <w:rFonts w:asciiTheme="majorHAnsi" w:hAnsiTheme="majorHAnsi"/>
        </w:rPr>
      </w:pPr>
      <w:hyperlink w:anchor="a1c_nccatalog" w:history="1">
        <w:r w:rsidR="00C0429D" w:rsidRPr="00BB5D2A">
          <w:rPr>
            <w:rFonts w:asciiTheme="majorHAnsi" w:hAnsiTheme="majorHAnsi"/>
          </w:rPr>
          <w:t>Catalog description</w:t>
        </w:r>
      </w:hyperlink>
      <w:bookmarkStart w:id="25" w:name="toc_nonobjectives"/>
      <w:bookmarkEnd w:id="25"/>
    </w:p>
    <w:p w14:paraId="3478C211" w14:textId="77777777" w:rsidR="00C0429D" w:rsidRPr="00BB5D2A" w:rsidRDefault="00BB5D2A" w:rsidP="00C0429D">
      <w:pPr>
        <w:pStyle w:val="ListParagraph"/>
        <w:widowControl/>
        <w:numPr>
          <w:ilvl w:val="0"/>
          <w:numId w:val="5"/>
        </w:numPr>
        <w:autoSpaceDE/>
        <w:autoSpaceDN/>
        <w:adjustRightInd/>
        <w:rPr>
          <w:rFonts w:asciiTheme="majorHAnsi" w:hAnsiTheme="majorHAnsi"/>
        </w:rPr>
      </w:pPr>
      <w:hyperlink w:anchor="a1c_ncobjectives" w:history="1">
        <w:r w:rsidR="00C0429D" w:rsidRPr="00BB5D2A">
          <w:rPr>
            <w:rFonts w:asciiTheme="majorHAnsi" w:hAnsiTheme="majorHAnsi"/>
          </w:rPr>
          <w:t>Objectives</w:t>
        </w:r>
      </w:hyperlink>
      <w:bookmarkStart w:id="26" w:name="toc_noncontent"/>
      <w:bookmarkEnd w:id="26"/>
    </w:p>
    <w:p w14:paraId="17B9E0B1" w14:textId="77777777" w:rsidR="00C0429D" w:rsidRPr="00BB5D2A" w:rsidRDefault="00C0429D" w:rsidP="00C0429D">
      <w:pPr>
        <w:pStyle w:val="ListParagraph"/>
        <w:widowControl/>
        <w:numPr>
          <w:ilvl w:val="1"/>
          <w:numId w:val="5"/>
        </w:numPr>
        <w:autoSpaceDE/>
        <w:autoSpaceDN/>
        <w:adjustRightInd/>
        <w:rPr>
          <w:rFonts w:asciiTheme="majorHAnsi" w:hAnsiTheme="majorHAnsi"/>
        </w:rPr>
      </w:pPr>
      <w:r w:rsidRPr="00BB5D2A">
        <w:rPr>
          <w:rFonts w:asciiTheme="majorHAnsi" w:hAnsiTheme="majorHAnsi"/>
          <w:color w:val="FF0000"/>
        </w:rPr>
        <w:t>Relation to Student Learning Outcomes as defined in 2010 Glossary, include reference to 2014 ACCJC standards</w:t>
      </w:r>
    </w:p>
    <w:p w14:paraId="50EDA9F6" w14:textId="77777777" w:rsidR="00C0429D" w:rsidRPr="00BB5D2A" w:rsidRDefault="00BB5D2A" w:rsidP="00C0429D">
      <w:pPr>
        <w:pStyle w:val="ListParagraph"/>
        <w:widowControl/>
        <w:numPr>
          <w:ilvl w:val="0"/>
          <w:numId w:val="5"/>
        </w:numPr>
        <w:autoSpaceDE/>
        <w:autoSpaceDN/>
        <w:adjustRightInd/>
        <w:rPr>
          <w:rFonts w:asciiTheme="majorHAnsi" w:hAnsiTheme="majorHAnsi"/>
        </w:rPr>
      </w:pPr>
      <w:hyperlink w:anchor="a1c_nccontent" w:history="1">
        <w:r w:rsidR="00C0429D" w:rsidRPr="00BB5D2A">
          <w:rPr>
            <w:rFonts w:asciiTheme="majorHAnsi" w:hAnsiTheme="majorHAnsi"/>
          </w:rPr>
          <w:t>Content</w:t>
        </w:r>
      </w:hyperlink>
      <w:bookmarkStart w:id="27" w:name="toc_nonassignments"/>
      <w:bookmarkStart w:id="28" w:name="toc_noninstruction"/>
      <w:bookmarkEnd w:id="27"/>
      <w:bookmarkEnd w:id="28"/>
      <w:r w:rsidR="00C0429D" w:rsidRPr="00BB5D2A">
        <w:rPr>
          <w:rFonts w:asciiTheme="majorHAnsi" w:hAnsiTheme="majorHAnsi"/>
          <w:color w:val="FF0000"/>
        </w:rPr>
        <w:t xml:space="preserve"> </w:t>
      </w:r>
    </w:p>
    <w:p w14:paraId="489E1D08" w14:textId="77777777" w:rsidR="00C0429D" w:rsidRPr="00BB5D2A" w:rsidRDefault="00C0429D" w:rsidP="00C0429D">
      <w:pPr>
        <w:pStyle w:val="ListParagraph"/>
        <w:widowControl/>
        <w:numPr>
          <w:ilvl w:val="1"/>
          <w:numId w:val="5"/>
        </w:numPr>
        <w:autoSpaceDE/>
        <w:autoSpaceDN/>
        <w:adjustRightInd/>
        <w:rPr>
          <w:rFonts w:asciiTheme="majorHAnsi" w:hAnsiTheme="majorHAnsi"/>
        </w:rPr>
      </w:pPr>
      <w:r w:rsidRPr="00BB5D2A">
        <w:rPr>
          <w:rFonts w:asciiTheme="majorHAnsi" w:hAnsiTheme="majorHAnsi"/>
          <w:color w:val="FF0000"/>
        </w:rPr>
        <w:t>CDCP vs. “regular” noncredit courses</w:t>
      </w:r>
    </w:p>
    <w:p w14:paraId="74CC8D80" w14:textId="77777777" w:rsidR="00C0429D" w:rsidRPr="00BB5D2A" w:rsidRDefault="00BB5D2A" w:rsidP="00C0429D">
      <w:pPr>
        <w:pStyle w:val="ListParagraph"/>
        <w:widowControl/>
        <w:numPr>
          <w:ilvl w:val="0"/>
          <w:numId w:val="5"/>
        </w:numPr>
        <w:autoSpaceDE/>
        <w:autoSpaceDN/>
        <w:adjustRightInd/>
        <w:rPr>
          <w:rFonts w:asciiTheme="majorHAnsi" w:hAnsiTheme="majorHAnsi"/>
        </w:rPr>
      </w:pPr>
      <w:hyperlink w:anchor="a1c_ncinstruction" w:history="1">
        <w:r w:rsidR="00C0429D" w:rsidRPr="00BB5D2A">
          <w:rPr>
            <w:rFonts w:asciiTheme="majorHAnsi" w:hAnsiTheme="majorHAnsi"/>
          </w:rPr>
          <w:t>Methods of Instruction</w:t>
        </w:r>
      </w:hyperlink>
      <w:bookmarkStart w:id="29" w:name="toc_noneval"/>
      <w:bookmarkEnd w:id="29"/>
    </w:p>
    <w:p w14:paraId="665D6048" w14:textId="77777777" w:rsidR="00C0429D" w:rsidRPr="00BB5D2A" w:rsidRDefault="00BB5D2A" w:rsidP="00C0429D">
      <w:pPr>
        <w:pStyle w:val="ListParagraph"/>
        <w:widowControl/>
        <w:numPr>
          <w:ilvl w:val="0"/>
          <w:numId w:val="5"/>
        </w:numPr>
        <w:autoSpaceDE/>
        <w:autoSpaceDN/>
        <w:adjustRightInd/>
        <w:rPr>
          <w:rFonts w:asciiTheme="majorHAnsi" w:hAnsiTheme="majorHAnsi"/>
        </w:rPr>
      </w:pPr>
      <w:hyperlink w:anchor="a1c_ncevaluation" w:history="1">
        <w:r w:rsidR="00C0429D" w:rsidRPr="00BB5D2A">
          <w:rPr>
            <w:rFonts w:asciiTheme="majorHAnsi" w:hAnsiTheme="majorHAnsi"/>
          </w:rPr>
          <w:t>Methods of evaluation</w:t>
        </w:r>
      </w:hyperlink>
      <w:bookmarkStart w:id="30" w:name="toc_general"/>
      <w:r w:rsidR="00C0429D" w:rsidRPr="00BB5D2A">
        <w:rPr>
          <w:rFonts w:asciiTheme="majorHAnsi" w:hAnsiTheme="majorHAnsi"/>
        </w:rPr>
        <w:t xml:space="preserve"> </w:t>
      </w:r>
      <w:r w:rsidR="00C0429D" w:rsidRPr="00BB5D2A">
        <w:rPr>
          <w:rFonts w:asciiTheme="majorHAnsi" w:hAnsiTheme="majorHAnsi"/>
          <w:color w:val="FF0000"/>
        </w:rPr>
        <w:t>and course grading policies</w:t>
      </w:r>
    </w:p>
    <w:p w14:paraId="2743A2DE" w14:textId="77777777" w:rsidR="00C0429D" w:rsidRPr="00BB5D2A" w:rsidRDefault="00BB5D2A" w:rsidP="00C0429D">
      <w:pPr>
        <w:pStyle w:val="ListParagraph"/>
        <w:widowControl/>
        <w:numPr>
          <w:ilvl w:val="0"/>
          <w:numId w:val="5"/>
        </w:numPr>
        <w:autoSpaceDE/>
        <w:autoSpaceDN/>
        <w:adjustRightInd/>
        <w:rPr>
          <w:rFonts w:asciiTheme="majorHAnsi" w:hAnsiTheme="majorHAnsi"/>
        </w:rPr>
      </w:pPr>
      <w:hyperlink w:anchor="a1c_ncassignments" w:history="1">
        <w:r w:rsidR="00C0429D" w:rsidRPr="00BB5D2A">
          <w:rPr>
            <w:rFonts w:asciiTheme="majorHAnsi" w:hAnsiTheme="majorHAnsi"/>
          </w:rPr>
          <w:t>Assignments and/or activities</w:t>
        </w:r>
      </w:hyperlink>
    </w:p>
    <w:p w14:paraId="68CBEA06" w14:textId="77777777" w:rsidR="00C0429D" w:rsidRPr="00BB5D2A" w:rsidRDefault="00C0429D" w:rsidP="00C0429D">
      <w:pPr>
        <w:rPr>
          <w:rFonts w:asciiTheme="majorHAnsi" w:hAnsiTheme="majorHAnsi"/>
        </w:rPr>
      </w:pPr>
      <w:bookmarkStart w:id="31" w:name="toc_all_courses_nonrequired"/>
      <w:bookmarkEnd w:id="31"/>
    </w:p>
    <w:p w14:paraId="71DDDE0A" w14:textId="77777777" w:rsidR="00C0429D" w:rsidRPr="00BB5D2A" w:rsidRDefault="00BB5D2A" w:rsidP="00C0429D">
      <w:pPr>
        <w:rPr>
          <w:rFonts w:asciiTheme="majorHAnsi" w:hAnsiTheme="majorHAnsi"/>
        </w:rPr>
      </w:pPr>
      <w:hyperlink w:anchor="all_courses_nonrequired" w:history="1">
        <w:r w:rsidR="00C0429D" w:rsidRPr="00BB5D2A">
          <w:rPr>
            <w:rFonts w:asciiTheme="majorHAnsi" w:hAnsiTheme="majorHAnsi"/>
          </w:rPr>
          <w:t>Relevant course outline elements</w:t>
        </w:r>
      </w:hyperlink>
    </w:p>
    <w:bookmarkStart w:id="32" w:name="toc_all_learning"/>
    <w:bookmarkStart w:id="33" w:name="toc_all_modality"/>
    <w:bookmarkEnd w:id="32"/>
    <w:bookmarkEnd w:id="33"/>
    <w:p w14:paraId="679C1B1E" w14:textId="77777777" w:rsidR="00C0429D" w:rsidRPr="00BB5D2A" w:rsidRDefault="00C0429D" w:rsidP="00C0429D">
      <w:pPr>
        <w:pStyle w:val="ListParagraph"/>
        <w:widowControl/>
        <w:numPr>
          <w:ilvl w:val="0"/>
          <w:numId w:val="6"/>
        </w:numPr>
        <w:autoSpaceDE/>
        <w:autoSpaceDN/>
        <w:adjustRightInd/>
        <w:rPr>
          <w:rFonts w:asciiTheme="majorHAnsi" w:hAnsiTheme="majorHAnsi"/>
        </w:rPr>
      </w:pPr>
      <w:r w:rsidRPr="00BB5D2A">
        <w:rPr>
          <w:rFonts w:asciiTheme="majorHAnsi" w:hAnsiTheme="majorHAnsi"/>
        </w:rPr>
        <w:fldChar w:fldCharType="begin"/>
      </w:r>
      <w:r w:rsidRPr="00BB5D2A">
        <w:rPr>
          <w:rFonts w:asciiTheme="majorHAnsi" w:hAnsiTheme="majorHAnsi"/>
        </w:rPr>
        <w:instrText xml:space="preserve"> HYPERLINK  \l "a1c_modality" </w:instrText>
      </w:r>
      <w:r w:rsidRPr="00BB5D2A">
        <w:rPr>
          <w:rFonts w:asciiTheme="majorHAnsi" w:hAnsiTheme="majorHAnsi"/>
        </w:rPr>
        <w:fldChar w:fldCharType="separate"/>
      </w:r>
      <w:r w:rsidRPr="00BB5D2A">
        <w:rPr>
          <w:rFonts w:asciiTheme="majorHAnsi" w:hAnsiTheme="majorHAnsi"/>
        </w:rPr>
        <w:t>Modality of instruction</w:t>
      </w:r>
      <w:r w:rsidRPr="00BB5D2A">
        <w:rPr>
          <w:rFonts w:asciiTheme="majorHAnsi" w:hAnsiTheme="majorHAnsi"/>
        </w:rPr>
        <w:fldChar w:fldCharType="end"/>
      </w:r>
      <w:bookmarkStart w:id="34" w:name="toc_all_calendar"/>
      <w:bookmarkEnd w:id="34"/>
      <w:r w:rsidRPr="00BB5D2A">
        <w:rPr>
          <w:rFonts w:asciiTheme="majorHAnsi" w:hAnsiTheme="majorHAnsi"/>
        </w:rPr>
        <w:t xml:space="preserve"> - </w:t>
      </w:r>
      <w:r w:rsidRPr="00BB5D2A">
        <w:rPr>
          <w:rFonts w:asciiTheme="majorHAnsi" w:hAnsiTheme="majorHAnsi"/>
          <w:color w:val="FF0000"/>
        </w:rPr>
        <w:t>distance education, short-term classes</w:t>
      </w:r>
    </w:p>
    <w:p w14:paraId="6AC946E8" w14:textId="77777777" w:rsidR="00C0429D" w:rsidRPr="00BB5D2A" w:rsidRDefault="00BB5D2A" w:rsidP="00C0429D">
      <w:pPr>
        <w:pStyle w:val="ListParagraph"/>
        <w:widowControl/>
        <w:numPr>
          <w:ilvl w:val="0"/>
          <w:numId w:val="6"/>
        </w:numPr>
        <w:autoSpaceDE/>
        <w:autoSpaceDN/>
        <w:adjustRightInd/>
        <w:rPr>
          <w:rFonts w:asciiTheme="majorHAnsi" w:hAnsiTheme="majorHAnsi"/>
        </w:rPr>
      </w:pPr>
      <w:hyperlink w:anchor="a1c_calendar" w:history="1">
        <w:r w:rsidR="00C0429D" w:rsidRPr="00BB5D2A">
          <w:rPr>
            <w:rFonts w:asciiTheme="majorHAnsi" w:hAnsiTheme="majorHAnsi"/>
          </w:rPr>
          <w:t>Course calendar and class size</w:t>
        </w:r>
      </w:hyperlink>
      <w:r w:rsidR="00C0429D" w:rsidRPr="00BB5D2A">
        <w:rPr>
          <w:rFonts w:asciiTheme="majorHAnsi" w:hAnsiTheme="majorHAnsi"/>
        </w:rPr>
        <w:t xml:space="preserve"> </w:t>
      </w:r>
      <w:bookmarkStart w:id="35" w:name="toc_all_other"/>
      <w:bookmarkEnd w:id="35"/>
    </w:p>
    <w:p w14:paraId="46B21988" w14:textId="77777777" w:rsidR="00C0429D" w:rsidRPr="00BB5D2A" w:rsidRDefault="00C0429D" w:rsidP="00C0429D">
      <w:pPr>
        <w:pStyle w:val="ListParagraph"/>
        <w:widowControl/>
        <w:numPr>
          <w:ilvl w:val="0"/>
          <w:numId w:val="6"/>
        </w:numPr>
        <w:autoSpaceDE/>
        <w:autoSpaceDN/>
        <w:adjustRightInd/>
        <w:rPr>
          <w:rFonts w:asciiTheme="majorHAnsi" w:hAnsiTheme="majorHAnsi"/>
          <w:color w:val="FF0000"/>
        </w:rPr>
      </w:pPr>
      <w:r w:rsidRPr="00BB5D2A">
        <w:rPr>
          <w:rFonts w:asciiTheme="majorHAnsi" w:hAnsiTheme="majorHAnsi"/>
          <w:color w:val="FF0000"/>
        </w:rPr>
        <w:t>Course enrollment limits and class caps (i.e. “other limitations on enrollment”)</w:t>
      </w:r>
    </w:p>
    <w:p w14:paraId="398A5BEF" w14:textId="77777777" w:rsidR="00C0429D" w:rsidRPr="00BB5D2A" w:rsidRDefault="00BB5D2A" w:rsidP="00C0429D">
      <w:pPr>
        <w:pStyle w:val="ListParagraph"/>
        <w:widowControl/>
        <w:numPr>
          <w:ilvl w:val="0"/>
          <w:numId w:val="6"/>
        </w:numPr>
        <w:autoSpaceDE/>
        <w:autoSpaceDN/>
        <w:adjustRightInd/>
        <w:rPr>
          <w:rFonts w:asciiTheme="majorHAnsi" w:hAnsiTheme="majorHAnsi"/>
        </w:rPr>
      </w:pPr>
      <w:hyperlink w:anchor="a1c_other" w:history="1">
        <w:r w:rsidR="00C0429D" w:rsidRPr="00BB5D2A">
          <w:rPr>
            <w:rFonts w:asciiTheme="majorHAnsi" w:hAnsiTheme="majorHAnsi"/>
          </w:rPr>
          <w:t>Other local elements</w:t>
        </w:r>
      </w:hyperlink>
      <w:r w:rsidR="00C0429D" w:rsidRPr="00BB5D2A">
        <w:rPr>
          <w:rFonts w:asciiTheme="majorHAnsi" w:hAnsiTheme="majorHAnsi"/>
        </w:rPr>
        <w:t xml:space="preserve"> </w:t>
      </w:r>
    </w:p>
    <w:p w14:paraId="0BF5BE63" w14:textId="77777777" w:rsidR="00C0429D" w:rsidRPr="00BB5D2A" w:rsidRDefault="00C0429D" w:rsidP="00C0429D">
      <w:pPr>
        <w:pStyle w:val="ListParagraph"/>
        <w:rPr>
          <w:rFonts w:asciiTheme="majorHAnsi" w:hAnsiTheme="majorHAnsi"/>
        </w:rPr>
      </w:pPr>
    </w:p>
    <w:p w14:paraId="6D959848" w14:textId="77777777" w:rsidR="00C0429D" w:rsidRPr="00BB5D2A" w:rsidRDefault="00BB5D2A" w:rsidP="00C0429D">
      <w:pPr>
        <w:rPr>
          <w:rFonts w:asciiTheme="majorHAnsi" w:hAnsiTheme="majorHAnsi"/>
        </w:rPr>
      </w:pPr>
      <w:hyperlink w:anchor="general" w:history="1">
        <w:r w:rsidR="00C0429D" w:rsidRPr="00BB5D2A">
          <w:rPr>
            <w:rFonts w:asciiTheme="majorHAnsi" w:hAnsiTheme="majorHAnsi"/>
          </w:rPr>
          <w:t>General curriculum considerations</w:t>
        </w:r>
        <w:bookmarkEnd w:id="30"/>
      </w:hyperlink>
      <w:r w:rsidR="00C0429D" w:rsidRPr="00BB5D2A">
        <w:rPr>
          <w:rFonts w:asciiTheme="majorHAnsi" w:hAnsiTheme="majorHAnsi"/>
        </w:rPr>
        <w:tab/>
      </w:r>
    </w:p>
    <w:bookmarkStart w:id="36" w:name="toc_local"/>
    <w:p w14:paraId="1EFFE477" w14:textId="77777777" w:rsidR="00C0429D" w:rsidRPr="00BB5D2A" w:rsidRDefault="00C0429D" w:rsidP="00C0429D">
      <w:pPr>
        <w:pStyle w:val="ListParagraph"/>
        <w:widowControl/>
        <w:numPr>
          <w:ilvl w:val="0"/>
          <w:numId w:val="2"/>
        </w:numPr>
        <w:autoSpaceDE/>
        <w:autoSpaceDN/>
        <w:adjustRightInd/>
        <w:rPr>
          <w:rFonts w:asciiTheme="majorHAnsi" w:hAnsiTheme="majorHAnsi"/>
        </w:rPr>
      </w:pPr>
      <w:r w:rsidRPr="00BB5D2A">
        <w:rPr>
          <w:rFonts w:asciiTheme="majorHAnsi" w:hAnsiTheme="majorHAnsi"/>
        </w:rPr>
        <w:fldChar w:fldCharType="begin"/>
      </w:r>
      <w:r w:rsidRPr="00BB5D2A">
        <w:rPr>
          <w:rFonts w:asciiTheme="majorHAnsi" w:hAnsiTheme="majorHAnsi"/>
        </w:rPr>
        <w:instrText xml:space="preserve"> HYPERLINK  \l "local" </w:instrText>
      </w:r>
      <w:r w:rsidRPr="00BB5D2A">
        <w:rPr>
          <w:rFonts w:asciiTheme="majorHAnsi" w:hAnsiTheme="majorHAnsi"/>
        </w:rPr>
        <w:fldChar w:fldCharType="separate"/>
      </w:r>
      <w:r w:rsidRPr="00BB5D2A">
        <w:rPr>
          <w:rFonts w:asciiTheme="majorHAnsi" w:hAnsiTheme="majorHAnsi"/>
        </w:rPr>
        <w:t>Local Processes and Autonomy</w:t>
      </w:r>
      <w:bookmarkEnd w:id="36"/>
      <w:r w:rsidRPr="00BB5D2A">
        <w:rPr>
          <w:rFonts w:asciiTheme="majorHAnsi" w:hAnsiTheme="majorHAnsi"/>
        </w:rPr>
        <w:fldChar w:fldCharType="end"/>
      </w:r>
      <w:bookmarkStart w:id="37" w:name="toc_courses"/>
    </w:p>
    <w:p w14:paraId="59EC68B2" w14:textId="77777777" w:rsidR="00C0429D" w:rsidRPr="00BB5D2A" w:rsidRDefault="00C0429D" w:rsidP="00C0429D">
      <w:pPr>
        <w:pStyle w:val="ListParagraph"/>
        <w:widowControl/>
        <w:numPr>
          <w:ilvl w:val="0"/>
          <w:numId w:val="2"/>
        </w:numPr>
        <w:autoSpaceDE/>
        <w:autoSpaceDN/>
        <w:adjustRightInd/>
        <w:rPr>
          <w:rFonts w:asciiTheme="majorHAnsi" w:hAnsiTheme="majorHAnsi"/>
        </w:rPr>
      </w:pPr>
      <w:r w:rsidRPr="00BB5D2A">
        <w:rPr>
          <w:rFonts w:asciiTheme="majorHAnsi" w:hAnsiTheme="majorHAnsi"/>
          <w:color w:val="FF0000"/>
        </w:rPr>
        <w:t>Repeatability and Families (NEW)</w:t>
      </w:r>
    </w:p>
    <w:p w14:paraId="5D7948BB" w14:textId="77777777" w:rsidR="00C0429D" w:rsidRPr="00BB5D2A" w:rsidRDefault="00BB5D2A" w:rsidP="00C0429D">
      <w:pPr>
        <w:pStyle w:val="ListParagraph"/>
        <w:widowControl/>
        <w:numPr>
          <w:ilvl w:val="0"/>
          <w:numId w:val="2"/>
        </w:numPr>
        <w:autoSpaceDE/>
        <w:autoSpaceDN/>
        <w:adjustRightInd/>
        <w:rPr>
          <w:rFonts w:asciiTheme="majorHAnsi" w:hAnsiTheme="majorHAnsi"/>
        </w:rPr>
      </w:pPr>
      <w:hyperlink w:anchor="courses" w:history="1">
        <w:r w:rsidR="00C0429D" w:rsidRPr="00BB5D2A">
          <w:rPr>
            <w:rFonts w:asciiTheme="majorHAnsi" w:hAnsiTheme="majorHAnsi"/>
          </w:rPr>
          <w:t>Courses and Program Approval</w:t>
        </w:r>
        <w:bookmarkEnd w:id="37"/>
      </w:hyperlink>
      <w:bookmarkStart w:id="38" w:name="toc_programreview"/>
      <w:r w:rsidR="00C0429D" w:rsidRPr="00BB5D2A">
        <w:rPr>
          <w:rFonts w:asciiTheme="majorHAnsi" w:hAnsiTheme="majorHAnsi"/>
        </w:rPr>
        <w:t xml:space="preserve"> (Chancellor’s Office), </w:t>
      </w:r>
      <w:r w:rsidR="00C0429D" w:rsidRPr="00BB5D2A">
        <w:rPr>
          <w:rFonts w:asciiTheme="majorHAnsi" w:hAnsiTheme="majorHAnsi"/>
          <w:color w:val="FF0000"/>
        </w:rPr>
        <w:t>including substantial vs. non-substantial changes</w:t>
      </w:r>
    </w:p>
    <w:p w14:paraId="10E8267F" w14:textId="77777777" w:rsidR="00C0429D" w:rsidRPr="00BB5D2A" w:rsidRDefault="00C0429D" w:rsidP="00C0429D">
      <w:pPr>
        <w:pStyle w:val="ListParagraph"/>
        <w:widowControl/>
        <w:numPr>
          <w:ilvl w:val="0"/>
          <w:numId w:val="2"/>
        </w:numPr>
        <w:autoSpaceDE/>
        <w:autoSpaceDN/>
        <w:adjustRightInd/>
        <w:rPr>
          <w:rFonts w:asciiTheme="majorHAnsi" w:hAnsiTheme="majorHAnsi"/>
        </w:rPr>
      </w:pPr>
      <w:r w:rsidRPr="00BB5D2A">
        <w:rPr>
          <w:rFonts w:asciiTheme="majorHAnsi" w:hAnsiTheme="majorHAnsi"/>
          <w:color w:val="FF0000"/>
        </w:rPr>
        <w:t xml:space="preserve">C-ID and relation to ADTs, Transfer Model Curriculum, Model Curriculum (NEW) </w:t>
      </w:r>
      <w:r w:rsidRPr="00BB5D2A">
        <w:rPr>
          <w:rFonts w:asciiTheme="majorHAnsi" w:hAnsiTheme="majorHAnsi"/>
          <w:highlight w:val="yellow"/>
        </w:rPr>
        <w:t>M. BOWEN</w:t>
      </w:r>
    </w:p>
    <w:p w14:paraId="35199394" w14:textId="77777777" w:rsidR="00C0429D" w:rsidRPr="00BB5D2A" w:rsidRDefault="00BB5D2A" w:rsidP="00C0429D">
      <w:pPr>
        <w:pStyle w:val="ListParagraph"/>
        <w:widowControl/>
        <w:numPr>
          <w:ilvl w:val="0"/>
          <w:numId w:val="2"/>
        </w:numPr>
        <w:autoSpaceDE/>
        <w:autoSpaceDN/>
        <w:adjustRightInd/>
        <w:rPr>
          <w:rFonts w:asciiTheme="majorHAnsi" w:hAnsiTheme="majorHAnsi"/>
        </w:rPr>
      </w:pPr>
      <w:hyperlink w:anchor="programreview" w:history="1">
        <w:r w:rsidR="00C0429D" w:rsidRPr="00BB5D2A">
          <w:rPr>
            <w:rFonts w:asciiTheme="majorHAnsi" w:hAnsiTheme="majorHAnsi"/>
          </w:rPr>
          <w:t>Program Review and Revising the Course Outline</w:t>
        </w:r>
        <w:bookmarkEnd w:id="38"/>
      </w:hyperlink>
      <w:bookmarkStart w:id="39" w:name="toc_changes"/>
    </w:p>
    <w:p w14:paraId="313F6C82" w14:textId="77777777" w:rsidR="00C0429D" w:rsidRPr="00BB5D2A" w:rsidRDefault="00BB5D2A" w:rsidP="00C0429D">
      <w:pPr>
        <w:pStyle w:val="ListParagraph"/>
        <w:widowControl/>
        <w:numPr>
          <w:ilvl w:val="0"/>
          <w:numId w:val="2"/>
        </w:numPr>
        <w:autoSpaceDE/>
        <w:autoSpaceDN/>
        <w:adjustRightInd/>
        <w:rPr>
          <w:rFonts w:asciiTheme="majorHAnsi" w:hAnsiTheme="majorHAnsi"/>
        </w:rPr>
      </w:pPr>
      <w:hyperlink w:anchor="changes" w:history="1">
        <w:r w:rsidR="00C0429D" w:rsidRPr="00BB5D2A">
          <w:rPr>
            <w:rFonts w:asciiTheme="majorHAnsi" w:hAnsiTheme="majorHAnsi"/>
          </w:rPr>
          <w:t>Changes Which Would Trigger a Course Review</w:t>
        </w:r>
        <w:bookmarkEnd w:id="39"/>
      </w:hyperlink>
      <w:bookmarkStart w:id="40" w:name="toc_segments"/>
    </w:p>
    <w:p w14:paraId="69328599" w14:textId="77777777" w:rsidR="00C0429D" w:rsidRPr="00BB5D2A" w:rsidRDefault="00BB5D2A" w:rsidP="00C0429D">
      <w:pPr>
        <w:pStyle w:val="ListParagraph"/>
        <w:widowControl/>
        <w:numPr>
          <w:ilvl w:val="0"/>
          <w:numId w:val="2"/>
        </w:numPr>
        <w:autoSpaceDE/>
        <w:autoSpaceDN/>
        <w:adjustRightInd/>
        <w:rPr>
          <w:rFonts w:asciiTheme="majorHAnsi" w:hAnsiTheme="majorHAnsi"/>
        </w:rPr>
      </w:pPr>
      <w:hyperlink w:anchor="segments" w:history="1">
        <w:r w:rsidR="00C0429D" w:rsidRPr="00BB5D2A">
          <w:rPr>
            <w:rFonts w:asciiTheme="majorHAnsi" w:hAnsiTheme="majorHAnsi"/>
          </w:rPr>
          <w:t>California Education Segments</w:t>
        </w:r>
        <w:bookmarkEnd w:id="40"/>
      </w:hyperlink>
      <w:bookmarkStart w:id="41" w:name="toc_contracted"/>
      <w:bookmarkStart w:id="42" w:name="toc_assist"/>
      <w:bookmarkEnd w:id="41"/>
      <w:bookmarkEnd w:id="42"/>
      <w:r w:rsidR="00C0429D" w:rsidRPr="00BB5D2A">
        <w:rPr>
          <w:rFonts w:asciiTheme="majorHAnsi" w:hAnsiTheme="majorHAnsi"/>
        </w:rPr>
        <w:t>, Roles, and Students</w:t>
      </w:r>
    </w:p>
    <w:p w14:paraId="523C3EA2" w14:textId="77777777" w:rsidR="00C0429D" w:rsidRPr="00BB5D2A" w:rsidRDefault="00BB5D2A" w:rsidP="00C0429D">
      <w:pPr>
        <w:pStyle w:val="ListParagraph"/>
        <w:widowControl/>
        <w:numPr>
          <w:ilvl w:val="0"/>
          <w:numId w:val="2"/>
        </w:numPr>
        <w:autoSpaceDE/>
        <w:autoSpaceDN/>
        <w:adjustRightInd/>
        <w:rPr>
          <w:rFonts w:asciiTheme="majorHAnsi" w:hAnsiTheme="majorHAnsi"/>
        </w:rPr>
      </w:pPr>
      <w:hyperlink w:anchor="assist" w:history="1">
        <w:r w:rsidR="00C0429D" w:rsidRPr="00BB5D2A">
          <w:rPr>
            <w:rFonts w:asciiTheme="majorHAnsi" w:hAnsiTheme="majorHAnsi"/>
          </w:rPr>
          <w:t>CSU/GE Breadth and IGETC</w:t>
        </w:r>
      </w:hyperlink>
      <w:r w:rsidR="00C0429D" w:rsidRPr="00BB5D2A">
        <w:rPr>
          <w:rFonts w:asciiTheme="majorHAnsi" w:hAnsiTheme="majorHAnsi"/>
        </w:rPr>
        <w:tab/>
      </w:r>
    </w:p>
    <w:p w14:paraId="6C3BB6F3" w14:textId="77777777" w:rsidR="00C0429D" w:rsidRPr="00BB5D2A" w:rsidRDefault="00C0429D" w:rsidP="00C0429D">
      <w:pPr>
        <w:pStyle w:val="ListParagraph"/>
        <w:widowControl/>
        <w:numPr>
          <w:ilvl w:val="0"/>
          <w:numId w:val="2"/>
        </w:numPr>
        <w:autoSpaceDE/>
        <w:autoSpaceDN/>
        <w:adjustRightInd/>
        <w:rPr>
          <w:rFonts w:asciiTheme="majorHAnsi" w:hAnsiTheme="majorHAnsi"/>
        </w:rPr>
      </w:pPr>
      <w:r w:rsidRPr="00BB5D2A">
        <w:rPr>
          <w:rFonts w:asciiTheme="majorHAnsi" w:hAnsiTheme="majorHAnsi"/>
          <w:color w:val="FF0000"/>
        </w:rPr>
        <w:t>Noncredit, including CDCP (NEW)</w:t>
      </w:r>
    </w:p>
    <w:p w14:paraId="49E669E9" w14:textId="77777777" w:rsidR="00C0429D" w:rsidRPr="00BB5D2A" w:rsidRDefault="00BB5D2A" w:rsidP="00C0429D">
      <w:pPr>
        <w:pStyle w:val="ListParagraph"/>
        <w:widowControl/>
        <w:numPr>
          <w:ilvl w:val="0"/>
          <w:numId w:val="2"/>
        </w:numPr>
        <w:autoSpaceDE/>
        <w:autoSpaceDN/>
        <w:adjustRightInd/>
        <w:rPr>
          <w:rFonts w:asciiTheme="majorHAnsi" w:hAnsiTheme="majorHAnsi"/>
        </w:rPr>
      </w:pPr>
      <w:hyperlink w:anchor="contracted" w:history="1">
        <w:r w:rsidR="00C0429D" w:rsidRPr="00BB5D2A">
          <w:rPr>
            <w:rFonts w:asciiTheme="majorHAnsi" w:hAnsiTheme="majorHAnsi"/>
          </w:rPr>
          <w:t>Contract Education, Not-for-Credit Courses and Community Service Offerings</w:t>
        </w:r>
      </w:hyperlink>
      <w:r w:rsidR="00C0429D" w:rsidRPr="00BB5D2A">
        <w:rPr>
          <w:rFonts w:asciiTheme="majorHAnsi" w:hAnsiTheme="majorHAnsi"/>
        </w:rPr>
        <w:t xml:space="preserve">, </w:t>
      </w:r>
      <w:r w:rsidR="00C0429D" w:rsidRPr="00BB5D2A">
        <w:rPr>
          <w:rFonts w:asciiTheme="majorHAnsi" w:hAnsiTheme="majorHAnsi"/>
          <w:color w:val="FF0000"/>
        </w:rPr>
        <w:t>Co-enrollment of community service students in credit courses</w:t>
      </w:r>
    </w:p>
    <w:p w14:paraId="2779DD32" w14:textId="77777777" w:rsidR="00C0429D" w:rsidRPr="00BB5D2A" w:rsidRDefault="00C0429D" w:rsidP="00C0429D">
      <w:pPr>
        <w:pStyle w:val="ListParagraph"/>
        <w:widowControl/>
        <w:numPr>
          <w:ilvl w:val="0"/>
          <w:numId w:val="2"/>
        </w:numPr>
        <w:autoSpaceDE/>
        <w:autoSpaceDN/>
        <w:adjustRightInd/>
        <w:rPr>
          <w:rFonts w:asciiTheme="majorHAnsi" w:hAnsiTheme="majorHAnsi"/>
        </w:rPr>
      </w:pPr>
      <w:r w:rsidRPr="00BB5D2A">
        <w:rPr>
          <w:rFonts w:asciiTheme="majorHAnsi" w:hAnsiTheme="majorHAnsi"/>
          <w:color w:val="FF0000"/>
        </w:rPr>
        <w:t>Experimental/special topics courses</w:t>
      </w:r>
      <w:r w:rsidRPr="00BB5D2A">
        <w:rPr>
          <w:rFonts w:asciiTheme="majorHAnsi" w:hAnsiTheme="majorHAnsi"/>
        </w:rPr>
        <w:tab/>
      </w:r>
    </w:p>
    <w:p w14:paraId="0927A0EF" w14:textId="77777777" w:rsidR="00C0429D" w:rsidRPr="00BB5D2A" w:rsidRDefault="00C0429D" w:rsidP="00C0429D">
      <w:pPr>
        <w:pStyle w:val="ListParagraph"/>
        <w:widowControl/>
        <w:numPr>
          <w:ilvl w:val="0"/>
          <w:numId w:val="2"/>
        </w:numPr>
        <w:autoSpaceDE/>
        <w:autoSpaceDN/>
        <w:adjustRightInd/>
        <w:rPr>
          <w:rFonts w:asciiTheme="majorHAnsi" w:hAnsiTheme="majorHAnsi"/>
        </w:rPr>
      </w:pPr>
      <w:r w:rsidRPr="00BB5D2A">
        <w:rPr>
          <w:rFonts w:asciiTheme="majorHAnsi" w:hAnsiTheme="majorHAnsi"/>
          <w:color w:val="FF0000"/>
        </w:rPr>
        <w:t xml:space="preserve">Cooperative work experience, directed clinical courses, clock hour programs, and other peculiarities </w:t>
      </w:r>
      <w:r w:rsidRPr="00BB5D2A">
        <w:rPr>
          <w:rFonts w:asciiTheme="majorHAnsi" w:hAnsiTheme="majorHAnsi"/>
          <w:highlight w:val="yellow"/>
        </w:rPr>
        <w:t>DARRYL ISSAC</w:t>
      </w:r>
      <w:r w:rsidRPr="00BB5D2A">
        <w:rPr>
          <w:rFonts w:asciiTheme="majorHAnsi" w:hAnsiTheme="majorHAnsi"/>
          <w:color w:val="FF0000"/>
        </w:rPr>
        <w:t>.</w:t>
      </w:r>
    </w:p>
    <w:p w14:paraId="5055952A" w14:textId="77777777" w:rsidR="00C0429D" w:rsidRPr="00BB5D2A" w:rsidRDefault="00C0429D" w:rsidP="00783872"/>
    <w:sectPr w:rsidR="00C0429D" w:rsidRPr="00BB5D2A" w:rsidSect="00C963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DEE"/>
    <w:multiLevelType w:val="hybridMultilevel"/>
    <w:tmpl w:val="0024DEDC"/>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6217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600C3"/>
    <w:multiLevelType w:val="hybridMultilevel"/>
    <w:tmpl w:val="E75E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A3295"/>
    <w:multiLevelType w:val="hybridMultilevel"/>
    <w:tmpl w:val="8A02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50286"/>
    <w:multiLevelType w:val="hybridMultilevel"/>
    <w:tmpl w:val="71A2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354B7"/>
    <w:multiLevelType w:val="hybridMultilevel"/>
    <w:tmpl w:val="8682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02292"/>
    <w:multiLevelType w:val="hybridMultilevel"/>
    <w:tmpl w:val="277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72"/>
    <w:rsid w:val="00267ECC"/>
    <w:rsid w:val="0038369B"/>
    <w:rsid w:val="0044196D"/>
    <w:rsid w:val="005D0BAC"/>
    <w:rsid w:val="005F036D"/>
    <w:rsid w:val="00716E04"/>
    <w:rsid w:val="00783872"/>
    <w:rsid w:val="008F1065"/>
    <w:rsid w:val="009C4DC4"/>
    <w:rsid w:val="009F5731"/>
    <w:rsid w:val="00BB5D2A"/>
    <w:rsid w:val="00BE1720"/>
    <w:rsid w:val="00C0429D"/>
    <w:rsid w:val="00C96301"/>
    <w:rsid w:val="00F67B69"/>
    <w:rsid w:val="00FC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2D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72"/>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3872"/>
    <w:rPr>
      <w:color w:val="0000FF"/>
    </w:rPr>
  </w:style>
  <w:style w:type="paragraph" w:styleId="ListParagraph">
    <w:name w:val="List Paragraph"/>
    <w:basedOn w:val="Normal"/>
    <w:uiPriority w:val="34"/>
    <w:qFormat/>
    <w:rsid w:val="007838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72"/>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3872"/>
    <w:rPr>
      <w:color w:val="0000FF"/>
    </w:rPr>
  </w:style>
  <w:style w:type="paragraph" w:styleId="ListParagraph">
    <w:name w:val="List Paragraph"/>
    <w:basedOn w:val="Normal"/>
    <w:uiPriority w:val="34"/>
    <w:qFormat/>
    <w:rsid w:val="0078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ccc.org/sites/default/files/SenateReimbursementForm2016_1.pdf" TargetMode="External"/><Relationship Id="rId7" Type="http://schemas.openxmlformats.org/officeDocument/2006/relationships/hyperlink" Target="http://www.asccc.org/events/2016-11-03-150000-2016-11-06-000000/2016-fall-plenary-session" TargetMode="External"/><Relationship Id="rId8" Type="http://schemas.openxmlformats.org/officeDocument/2006/relationships/hyperlink" Target="http://www.asccc.org/events/2016-11-03-150000-2016-11-06-000000/2016-fall-plenary-sess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7382</Characters>
  <Application>Microsoft Macintosh Word</Application>
  <DocSecurity>0</DocSecurity>
  <Lines>61</Lines>
  <Paragraphs>17</Paragraphs>
  <ScaleCrop>false</ScaleCrop>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rbeach</dc:creator>
  <cp:keywords/>
  <dc:description/>
  <cp:lastModifiedBy>Dolores Davison</cp:lastModifiedBy>
  <cp:revision>2</cp:revision>
  <dcterms:created xsi:type="dcterms:W3CDTF">2016-08-31T02:51:00Z</dcterms:created>
  <dcterms:modified xsi:type="dcterms:W3CDTF">2016-08-31T02:51:00Z</dcterms:modified>
</cp:coreProperties>
</file>