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FCFF2" w14:textId="77777777" w:rsidR="00774970" w:rsidRDefault="00774970" w:rsidP="009639CC">
      <w:pPr>
        <w:jc w:val="center"/>
        <w:rPr>
          <w:rFonts w:eastAsia="Times New Roman"/>
          <w:b/>
          <w:caps/>
          <w:color w:val="222222"/>
        </w:rPr>
      </w:pPr>
      <w:bookmarkStart w:id="0" w:name="_GoBack"/>
      <w:bookmarkEnd w:id="0"/>
      <w:r w:rsidRPr="009639CC">
        <w:rPr>
          <w:b/>
          <w:caps/>
        </w:rPr>
        <w:t xml:space="preserve">Board of Governors Workforce, Job Creation, </w:t>
      </w:r>
      <w:r w:rsidR="009639CC">
        <w:rPr>
          <w:b/>
          <w:caps/>
        </w:rPr>
        <w:br/>
      </w:r>
      <w:r w:rsidRPr="009639CC">
        <w:rPr>
          <w:b/>
          <w:caps/>
        </w:rPr>
        <w:t xml:space="preserve">and a Strong Economy </w:t>
      </w:r>
      <w:r w:rsidRPr="009639CC">
        <w:rPr>
          <w:rFonts w:eastAsia="Times New Roman"/>
          <w:b/>
          <w:caps/>
          <w:color w:val="222222"/>
        </w:rPr>
        <w:t>Recommendations</w:t>
      </w:r>
    </w:p>
    <w:tbl>
      <w:tblPr>
        <w:tblStyle w:val="TableGrid"/>
        <w:tblW w:w="13860" w:type="dxa"/>
        <w:tblInd w:w="-455" w:type="dxa"/>
        <w:tblLook w:val="04A0" w:firstRow="1" w:lastRow="0" w:firstColumn="1" w:lastColumn="0" w:noHBand="0" w:noVBand="1"/>
      </w:tblPr>
      <w:tblGrid>
        <w:gridCol w:w="3016"/>
        <w:gridCol w:w="314"/>
        <w:gridCol w:w="2361"/>
        <w:gridCol w:w="272"/>
        <w:gridCol w:w="2400"/>
        <w:gridCol w:w="750"/>
        <w:gridCol w:w="1777"/>
        <w:gridCol w:w="84"/>
        <w:gridCol w:w="2886"/>
      </w:tblGrid>
      <w:tr w:rsidR="0035494F" w14:paraId="3B7A4818" w14:textId="77777777" w:rsidTr="0035494F">
        <w:tc>
          <w:tcPr>
            <w:tcW w:w="13860" w:type="dxa"/>
            <w:gridSpan w:val="9"/>
            <w:shd w:val="clear" w:color="auto" w:fill="D9D9D9" w:themeFill="background1" w:themeFillShade="D9"/>
          </w:tcPr>
          <w:p w14:paraId="5BD9540C" w14:textId="77777777" w:rsidR="0035494F" w:rsidRPr="00351727" w:rsidRDefault="0035494F" w:rsidP="0035494F">
            <w:pPr>
              <w:jc w:val="center"/>
              <w:rPr>
                <w:b/>
              </w:rPr>
            </w:pPr>
            <w:r w:rsidRPr="00351727">
              <w:rPr>
                <w:b/>
              </w:rPr>
              <w:t>STUDENT SUCCESS</w:t>
            </w:r>
          </w:p>
        </w:tc>
      </w:tr>
      <w:tr w:rsidR="0035494F" w14:paraId="22E114DB" w14:textId="77777777" w:rsidTr="000D6D01">
        <w:tc>
          <w:tcPr>
            <w:tcW w:w="3330" w:type="dxa"/>
            <w:gridSpan w:val="2"/>
          </w:tcPr>
          <w:p w14:paraId="5D2CA499" w14:textId="77777777" w:rsidR="0035494F" w:rsidRPr="00351727" w:rsidRDefault="0035494F" w:rsidP="0035494F">
            <w:pPr>
              <w:jc w:val="center"/>
              <w:rPr>
                <w:i/>
                <w:color w:val="FF0000"/>
                <w:u w:val="single"/>
              </w:rPr>
            </w:pPr>
            <w:r w:rsidRPr="00351727">
              <w:rPr>
                <w:i/>
                <w:color w:val="FF0000"/>
              </w:rPr>
              <w:t>10+1</w:t>
            </w:r>
          </w:p>
        </w:tc>
        <w:tc>
          <w:tcPr>
            <w:tcW w:w="2633" w:type="dxa"/>
            <w:gridSpan w:val="2"/>
          </w:tcPr>
          <w:p w14:paraId="14B3604B" w14:textId="77777777" w:rsidR="0035494F" w:rsidRPr="00351727" w:rsidRDefault="0035494F" w:rsidP="0035494F">
            <w:pPr>
              <w:jc w:val="center"/>
              <w:rPr>
                <w:i/>
                <w:color w:val="FF0000"/>
                <w:u w:val="single"/>
              </w:rPr>
            </w:pPr>
            <w:r w:rsidRPr="00351727">
              <w:rPr>
                <w:i/>
                <w:color w:val="FF0000"/>
              </w:rPr>
              <w:t>Needed policy or guidance</w:t>
            </w:r>
          </w:p>
        </w:tc>
        <w:tc>
          <w:tcPr>
            <w:tcW w:w="3150" w:type="dxa"/>
            <w:gridSpan w:val="2"/>
          </w:tcPr>
          <w:p w14:paraId="4081E780" w14:textId="77777777" w:rsidR="0035494F" w:rsidRPr="00351727" w:rsidRDefault="0035494F" w:rsidP="0035494F">
            <w:pPr>
              <w:jc w:val="center"/>
              <w:rPr>
                <w:i/>
                <w:color w:val="FF0000"/>
                <w:u w:val="single"/>
              </w:rPr>
            </w:pPr>
            <w:r w:rsidRPr="00351727">
              <w:rPr>
                <w:i/>
                <w:color w:val="FF0000"/>
              </w:rPr>
              <w:t>Current positions</w:t>
            </w:r>
          </w:p>
        </w:tc>
        <w:tc>
          <w:tcPr>
            <w:tcW w:w="1777" w:type="dxa"/>
          </w:tcPr>
          <w:p w14:paraId="529AF390" w14:textId="77777777" w:rsidR="0035494F" w:rsidRPr="00351727" w:rsidRDefault="008C4B1A" w:rsidP="0035494F">
            <w:pPr>
              <w:jc w:val="center"/>
              <w:rPr>
                <w:i/>
                <w:color w:val="FF0000"/>
              </w:rPr>
            </w:pPr>
            <w:r w:rsidRPr="00351727">
              <w:rPr>
                <w:i/>
                <w:color w:val="FF0000"/>
              </w:rPr>
              <w:t>Partners</w:t>
            </w:r>
          </w:p>
        </w:tc>
        <w:tc>
          <w:tcPr>
            <w:tcW w:w="2970" w:type="dxa"/>
            <w:gridSpan w:val="2"/>
          </w:tcPr>
          <w:p w14:paraId="1D7EC1E4" w14:textId="77777777" w:rsidR="0035494F" w:rsidRPr="00351727" w:rsidRDefault="009639CC" w:rsidP="0035494F">
            <w:pPr>
              <w:jc w:val="center"/>
              <w:rPr>
                <w:i/>
              </w:rPr>
            </w:pPr>
            <w:r w:rsidRPr="00351727">
              <w:rPr>
                <w:i/>
                <w:color w:val="FF0000"/>
              </w:rPr>
              <w:t>Action</w:t>
            </w:r>
          </w:p>
        </w:tc>
      </w:tr>
      <w:tr w:rsidR="0035494F" w14:paraId="3AFF7FD5" w14:textId="77777777" w:rsidTr="00351727">
        <w:trPr>
          <w:trHeight w:val="449"/>
        </w:trPr>
        <w:tc>
          <w:tcPr>
            <w:tcW w:w="13860" w:type="dxa"/>
            <w:gridSpan w:val="9"/>
          </w:tcPr>
          <w:p w14:paraId="2FE9E4E9" w14:textId="77777777" w:rsidR="0035494F" w:rsidRPr="00351727" w:rsidRDefault="0035494F" w:rsidP="0035494F">
            <w:pPr>
              <w:pStyle w:val="ListParagraph"/>
              <w:numPr>
                <w:ilvl w:val="0"/>
                <w:numId w:val="3"/>
              </w:numPr>
              <w:rPr>
                <w:rFonts w:ascii="Times New Roman" w:hAnsi="Times New Roman" w:cs="Times New Roman"/>
                <w:b/>
              </w:rPr>
            </w:pPr>
            <w:r w:rsidRPr="00351727">
              <w:rPr>
                <w:rFonts w:ascii="Times New Roman" w:hAnsi="Times New Roman" w:cs="Times New Roman"/>
                <w:b/>
              </w:rPr>
              <w:t>Broaden and enhance career exploration and planning, work-based learning opportunities, and other supports for students.</w:t>
            </w:r>
          </w:p>
        </w:tc>
      </w:tr>
      <w:tr w:rsidR="00C33731" w14:paraId="541CBC34" w14:textId="77777777" w:rsidTr="000D6D01">
        <w:trPr>
          <w:trHeight w:val="485"/>
        </w:trPr>
        <w:tc>
          <w:tcPr>
            <w:tcW w:w="13860" w:type="dxa"/>
            <w:gridSpan w:val="9"/>
          </w:tcPr>
          <w:p w14:paraId="76D7E944" w14:textId="77777777" w:rsidR="00C33731" w:rsidRPr="00351727" w:rsidRDefault="00C33731" w:rsidP="000D6D01">
            <w:pPr>
              <w:pStyle w:val="ListParagraph"/>
              <w:numPr>
                <w:ilvl w:val="0"/>
                <w:numId w:val="8"/>
              </w:numPr>
              <w:spacing w:line="240" w:lineRule="auto"/>
              <w:rPr>
                <w:rFonts w:ascii="Times New Roman" w:hAnsi="Times New Roman" w:cs="Times New Roman"/>
                <w:i/>
              </w:rPr>
            </w:pPr>
            <w:r w:rsidRPr="00351727">
              <w:rPr>
                <w:rFonts w:ascii="Times New Roman" w:hAnsi="Times New Roman" w:cs="Times New Roman"/>
              </w:rPr>
              <w:t>Provide resources for student support and career center services to raise the awareness of career planning and provide information to high school, adult education and community college students on labor market demand and earnings potential</w:t>
            </w:r>
          </w:p>
        </w:tc>
      </w:tr>
      <w:tr w:rsidR="0035494F" w14:paraId="6FC39767" w14:textId="77777777" w:rsidTr="000D6D01">
        <w:tc>
          <w:tcPr>
            <w:tcW w:w="3330" w:type="dxa"/>
            <w:gridSpan w:val="2"/>
          </w:tcPr>
          <w:p w14:paraId="6D6D034F" w14:textId="696C4A8D" w:rsidR="00724D1D" w:rsidRPr="00351727" w:rsidRDefault="00724D1D" w:rsidP="0035494F">
            <w:pPr>
              <w:rPr>
                <w:color w:val="538135" w:themeColor="accent6" w:themeShade="BF"/>
                <w:sz w:val="20"/>
                <w:szCs w:val="20"/>
              </w:rPr>
            </w:pPr>
            <w:r w:rsidRPr="00351727">
              <w:rPr>
                <w:color w:val="000000" w:themeColor="text1"/>
                <w:sz w:val="20"/>
                <w:szCs w:val="20"/>
              </w:rPr>
              <w:t>Standards or policies regarding student preparation and success</w:t>
            </w:r>
          </w:p>
        </w:tc>
        <w:tc>
          <w:tcPr>
            <w:tcW w:w="2633" w:type="dxa"/>
            <w:gridSpan w:val="2"/>
          </w:tcPr>
          <w:p w14:paraId="0A24E789" w14:textId="77777777" w:rsidR="0035494F" w:rsidRPr="00351727" w:rsidRDefault="0035494F" w:rsidP="0035494F">
            <w:pPr>
              <w:rPr>
                <w:b/>
                <w:sz w:val="20"/>
                <w:szCs w:val="20"/>
                <w:u w:val="single"/>
              </w:rPr>
            </w:pPr>
          </w:p>
        </w:tc>
        <w:tc>
          <w:tcPr>
            <w:tcW w:w="3150" w:type="dxa"/>
            <w:gridSpan w:val="2"/>
          </w:tcPr>
          <w:p w14:paraId="4914812F" w14:textId="6A895D0B" w:rsidR="00537CDB" w:rsidRPr="00351727" w:rsidRDefault="000B11E9" w:rsidP="00537CDB">
            <w:pPr>
              <w:rPr>
                <w:rStyle w:val="Hyperlink"/>
                <w:sz w:val="20"/>
                <w:szCs w:val="20"/>
              </w:rPr>
            </w:pPr>
            <w:r w:rsidRPr="00351727">
              <w:rPr>
                <w:sz w:val="20"/>
                <w:szCs w:val="20"/>
              </w:rPr>
              <w:fldChar w:fldCharType="begin"/>
            </w:r>
            <w:r w:rsidRPr="00351727">
              <w:rPr>
                <w:sz w:val="20"/>
                <w:szCs w:val="20"/>
              </w:rPr>
              <w:instrText xml:space="preserve"> HYPERLINK "http://www.asccc.org/resolutions/support-funding-career-pathways-and-coordination-long-range-planning" </w:instrText>
            </w:r>
            <w:r w:rsidRPr="00351727">
              <w:rPr>
                <w:sz w:val="20"/>
                <w:szCs w:val="20"/>
              </w:rPr>
              <w:fldChar w:fldCharType="separate"/>
            </w:r>
            <w:r w:rsidR="00F76CE7" w:rsidRPr="00351727">
              <w:rPr>
                <w:rStyle w:val="Hyperlink"/>
                <w:sz w:val="20"/>
                <w:szCs w:val="20"/>
              </w:rPr>
              <w:t>6.02 S</w:t>
            </w:r>
            <w:r w:rsidR="00C3674A" w:rsidRPr="00351727">
              <w:rPr>
                <w:rStyle w:val="Hyperlink"/>
                <w:sz w:val="20"/>
                <w:szCs w:val="20"/>
              </w:rPr>
              <w:t>15 Support</w:t>
            </w:r>
            <w:r w:rsidR="00537CDB" w:rsidRPr="00351727">
              <w:rPr>
                <w:rStyle w:val="Hyperlink"/>
                <w:sz w:val="20"/>
                <w:szCs w:val="20"/>
              </w:rPr>
              <w:t xml:space="preserve"> Funding for Career Pathways and Coordination of Long Range Planning</w:t>
            </w:r>
            <w:r w:rsidR="00A95B5E" w:rsidRPr="00351727">
              <w:rPr>
                <w:rStyle w:val="Hyperlink"/>
                <w:sz w:val="20"/>
                <w:szCs w:val="20"/>
              </w:rPr>
              <w:t xml:space="preserve"> </w:t>
            </w:r>
          </w:p>
          <w:p w14:paraId="1308CA29" w14:textId="6FDBC1A6" w:rsidR="0035494F" w:rsidRPr="00351727" w:rsidRDefault="000B11E9" w:rsidP="00A95B5E">
            <w:pPr>
              <w:rPr>
                <w:color w:val="574C45"/>
                <w:sz w:val="20"/>
                <w:szCs w:val="20"/>
              </w:rPr>
            </w:pPr>
            <w:r w:rsidRPr="00351727">
              <w:rPr>
                <w:sz w:val="20"/>
                <w:szCs w:val="20"/>
              </w:rPr>
              <w:fldChar w:fldCharType="end"/>
            </w:r>
            <w:r w:rsidR="00323963" w:rsidRPr="00351727">
              <w:rPr>
                <w:color w:val="574C45"/>
                <w:sz w:val="20"/>
                <w:szCs w:val="20"/>
              </w:rPr>
              <w:t>S</w:t>
            </w:r>
            <w:r w:rsidR="0063546D" w:rsidRPr="00351727">
              <w:rPr>
                <w:color w:val="574C45"/>
                <w:sz w:val="20"/>
                <w:szCs w:val="20"/>
              </w:rPr>
              <w:t>upport current and future public investments in California high school to community college career pathways; and</w:t>
            </w:r>
            <w:r w:rsidR="00323963" w:rsidRPr="00351727">
              <w:rPr>
                <w:color w:val="574C45"/>
                <w:sz w:val="20"/>
                <w:szCs w:val="20"/>
              </w:rPr>
              <w:t xml:space="preserve"> </w:t>
            </w:r>
            <w:r w:rsidR="0063546D" w:rsidRPr="00351727">
              <w:rPr>
                <w:color w:val="574C45"/>
                <w:sz w:val="20"/>
                <w:szCs w:val="20"/>
              </w:rPr>
              <w:t>work with interested legislators to include long range goals and resources for coordinating and investing in career pathways at the state level.</w:t>
            </w:r>
          </w:p>
          <w:p w14:paraId="5CA0EA19" w14:textId="77777777" w:rsidR="00A95B5E" w:rsidRPr="00351727" w:rsidRDefault="00A95B5E" w:rsidP="00A95B5E">
            <w:pPr>
              <w:rPr>
                <w:sz w:val="20"/>
                <w:szCs w:val="20"/>
              </w:rPr>
            </w:pPr>
          </w:p>
          <w:p w14:paraId="44D333BB" w14:textId="12069814" w:rsidR="008F2847" w:rsidRPr="00351727" w:rsidRDefault="00C764A9" w:rsidP="00A95B5E">
            <w:pPr>
              <w:pStyle w:val="NormalWeb"/>
              <w:spacing w:before="0" w:beforeAutospacing="0" w:after="240" w:afterAutospacing="0"/>
              <w:rPr>
                <w:rFonts w:eastAsia="Times New Roman"/>
                <w:color w:val="574C45"/>
                <w:sz w:val="20"/>
                <w:szCs w:val="20"/>
              </w:rPr>
            </w:pPr>
            <w:hyperlink r:id="rId8" w:history="1">
              <w:r w:rsidR="0063546D" w:rsidRPr="00351727">
                <w:rPr>
                  <w:rStyle w:val="Hyperlink"/>
                  <w:sz w:val="20"/>
                  <w:szCs w:val="20"/>
                </w:rPr>
                <w:t>21.01 S97 Internet and Career Center Access</w:t>
              </w:r>
              <w:r w:rsidR="00A95B5E" w:rsidRPr="00351727">
                <w:rPr>
                  <w:rStyle w:val="Hyperlink"/>
                  <w:sz w:val="20"/>
                  <w:szCs w:val="20"/>
                </w:rPr>
                <w:t xml:space="preserve"> </w:t>
              </w:r>
            </w:hyperlink>
            <w:r w:rsidR="00A95B5E" w:rsidRPr="00351727">
              <w:rPr>
                <w:color w:val="574C45"/>
                <w:sz w:val="20"/>
                <w:szCs w:val="20"/>
              </w:rPr>
              <w:br/>
            </w:r>
            <w:r w:rsidR="00323963" w:rsidRPr="00351727">
              <w:rPr>
                <w:rFonts w:eastAsia="Times New Roman"/>
                <w:color w:val="574C45"/>
                <w:sz w:val="20"/>
                <w:szCs w:val="20"/>
              </w:rPr>
              <w:t>U</w:t>
            </w:r>
            <w:r w:rsidR="0063546D" w:rsidRPr="00351727">
              <w:rPr>
                <w:rFonts w:eastAsia="Times New Roman"/>
                <w:color w:val="574C45"/>
                <w:sz w:val="20"/>
                <w:szCs w:val="20"/>
              </w:rPr>
              <w:t>rge local senates to support career center technology services so that all students can have access in the career center to career information and job banks available on the Internet.</w:t>
            </w:r>
          </w:p>
        </w:tc>
        <w:tc>
          <w:tcPr>
            <w:tcW w:w="1861" w:type="dxa"/>
            <w:gridSpan w:val="2"/>
          </w:tcPr>
          <w:p w14:paraId="75747947" w14:textId="604D2D75" w:rsidR="0035494F" w:rsidRPr="00351727" w:rsidRDefault="00323963" w:rsidP="0035494F">
            <w:r w:rsidRPr="00351727">
              <w:rPr>
                <w:sz w:val="20"/>
                <w:szCs w:val="20"/>
              </w:rPr>
              <w:t>CCCCAOE, Chancellor’s Office, Legislature</w:t>
            </w:r>
            <w:r w:rsidRPr="00351727">
              <w:t xml:space="preserve"> </w:t>
            </w:r>
          </w:p>
        </w:tc>
        <w:tc>
          <w:tcPr>
            <w:tcW w:w="2886" w:type="dxa"/>
          </w:tcPr>
          <w:p w14:paraId="105D8BA9" w14:textId="5C57E2F2" w:rsidR="0035494F" w:rsidRPr="00351727" w:rsidRDefault="00AA2ADE" w:rsidP="0035494F">
            <w:r w:rsidRPr="00351727">
              <w:rPr>
                <w:color w:val="FF0000"/>
                <w:sz w:val="20"/>
                <w:szCs w:val="20"/>
              </w:rPr>
              <w:t>Advisory role</w:t>
            </w:r>
            <w:r w:rsidRPr="00351727">
              <w:rPr>
                <w:rStyle w:val="FootnoteReference"/>
              </w:rPr>
              <w:footnoteReference w:id="1"/>
            </w:r>
          </w:p>
        </w:tc>
      </w:tr>
      <w:tr w:rsidR="00C33731" w14:paraId="78EC1660" w14:textId="77777777" w:rsidTr="00414C13">
        <w:tc>
          <w:tcPr>
            <w:tcW w:w="13860" w:type="dxa"/>
            <w:gridSpan w:val="9"/>
          </w:tcPr>
          <w:p w14:paraId="3D942F6C" w14:textId="2073379D" w:rsidR="00C33731" w:rsidRPr="00351727" w:rsidRDefault="00C33731" w:rsidP="00C33731">
            <w:pPr>
              <w:pStyle w:val="ListParagraph"/>
              <w:numPr>
                <w:ilvl w:val="0"/>
                <w:numId w:val="8"/>
              </w:numPr>
              <w:rPr>
                <w:rFonts w:ascii="Times New Roman" w:hAnsi="Times New Roman" w:cs="Times New Roman"/>
              </w:rPr>
            </w:pPr>
            <w:r w:rsidRPr="00351727">
              <w:rPr>
                <w:rFonts w:ascii="Times New Roman" w:hAnsi="Times New Roman" w:cs="Times New Roman"/>
              </w:rPr>
              <w:t>Develop and implement common, effective career and educational planning tools for high school, adult education and community college counselors to provide detailed and comprehensive information, resources, and support on career awareness, preparation, and exploration; CTE pathway and education planning; workplace-readiness skills; work-based learning opportunities; and local and regional employer needs and job requirements.</w:t>
            </w:r>
          </w:p>
        </w:tc>
      </w:tr>
      <w:tr w:rsidR="00C33731" w14:paraId="0EA8D91B" w14:textId="77777777" w:rsidTr="000D6D01">
        <w:tc>
          <w:tcPr>
            <w:tcW w:w="3330" w:type="dxa"/>
            <w:gridSpan w:val="2"/>
          </w:tcPr>
          <w:p w14:paraId="261FAA4A" w14:textId="31BA96FA" w:rsidR="00724D1D" w:rsidRPr="000D6D01" w:rsidRDefault="00724D1D" w:rsidP="000D6D01">
            <w:pPr>
              <w:pStyle w:val="ListParagraph"/>
              <w:numPr>
                <w:ilvl w:val="0"/>
                <w:numId w:val="34"/>
              </w:numPr>
              <w:spacing w:line="240" w:lineRule="auto"/>
              <w:ind w:left="360"/>
              <w:rPr>
                <w:color w:val="000000" w:themeColor="text1"/>
                <w:sz w:val="20"/>
                <w:szCs w:val="20"/>
              </w:rPr>
            </w:pPr>
            <w:r w:rsidRPr="000D6D01">
              <w:rPr>
                <w:color w:val="000000" w:themeColor="text1"/>
                <w:sz w:val="20"/>
                <w:szCs w:val="20"/>
              </w:rPr>
              <w:lastRenderedPageBreak/>
              <w:t xml:space="preserve">Standards or policies regarding </w:t>
            </w:r>
            <w:r w:rsidR="00335747" w:rsidRPr="000D6D01">
              <w:rPr>
                <w:color w:val="000000" w:themeColor="text1"/>
                <w:sz w:val="20"/>
                <w:szCs w:val="20"/>
              </w:rPr>
              <w:t>student preparation and success</w:t>
            </w:r>
          </w:p>
          <w:p w14:paraId="393961DE" w14:textId="0852B4D9" w:rsidR="00335747" w:rsidRPr="000D6D01" w:rsidRDefault="00335747" w:rsidP="000D6D01">
            <w:pPr>
              <w:pStyle w:val="ListParagraph"/>
              <w:numPr>
                <w:ilvl w:val="0"/>
                <w:numId w:val="34"/>
              </w:numPr>
              <w:spacing w:line="240" w:lineRule="auto"/>
              <w:ind w:left="360"/>
              <w:rPr>
                <w:color w:val="000000" w:themeColor="text1"/>
                <w:sz w:val="20"/>
                <w:szCs w:val="20"/>
              </w:rPr>
            </w:pPr>
            <w:r w:rsidRPr="000D6D01">
              <w:rPr>
                <w:color w:val="000000" w:themeColor="text1"/>
                <w:sz w:val="20"/>
                <w:szCs w:val="20"/>
              </w:rPr>
              <w:t>Educational program development</w:t>
            </w:r>
          </w:p>
          <w:p w14:paraId="14236068" w14:textId="69BE4121" w:rsidR="00335747" w:rsidRPr="000D6D01" w:rsidRDefault="00335747" w:rsidP="000D6D01">
            <w:pPr>
              <w:pStyle w:val="ListParagraph"/>
              <w:numPr>
                <w:ilvl w:val="0"/>
                <w:numId w:val="34"/>
              </w:numPr>
              <w:spacing w:line="240" w:lineRule="auto"/>
              <w:ind w:left="360"/>
              <w:rPr>
                <w:b/>
                <w:u w:val="single"/>
              </w:rPr>
            </w:pPr>
            <w:r w:rsidRPr="000D6D01">
              <w:rPr>
                <w:color w:val="000000" w:themeColor="text1"/>
                <w:sz w:val="20"/>
                <w:szCs w:val="20"/>
              </w:rPr>
              <w:t>Curriculum</w:t>
            </w:r>
          </w:p>
        </w:tc>
        <w:tc>
          <w:tcPr>
            <w:tcW w:w="2633" w:type="dxa"/>
            <w:gridSpan w:val="2"/>
          </w:tcPr>
          <w:p w14:paraId="2C362F41" w14:textId="77777777" w:rsidR="00C33731" w:rsidRPr="00053FC2" w:rsidRDefault="00C33731" w:rsidP="0035494F">
            <w:pPr>
              <w:rPr>
                <w:b/>
                <w:u w:val="single"/>
              </w:rPr>
            </w:pPr>
          </w:p>
        </w:tc>
        <w:tc>
          <w:tcPr>
            <w:tcW w:w="3150" w:type="dxa"/>
            <w:gridSpan w:val="2"/>
          </w:tcPr>
          <w:p w14:paraId="35BF904E" w14:textId="69AC2B7B" w:rsidR="00C33731" w:rsidRPr="007F31D8" w:rsidRDefault="00C764A9" w:rsidP="0035494F">
            <w:pPr>
              <w:rPr>
                <w:sz w:val="20"/>
                <w:szCs w:val="20"/>
              </w:rPr>
            </w:pPr>
            <w:hyperlink r:id="rId9" w:history="1">
              <w:r w:rsidR="007F31D8" w:rsidRPr="007F31D8">
                <w:rPr>
                  <w:rStyle w:val="Hyperlink"/>
                  <w:sz w:val="20"/>
                  <w:szCs w:val="20"/>
                </w:rPr>
                <w:t>Statewide Career Pathways:  Creating School to College Articulation</w:t>
              </w:r>
            </w:hyperlink>
            <w:r w:rsidR="007F31D8" w:rsidRPr="007F31D8">
              <w:rPr>
                <w:sz w:val="20"/>
                <w:szCs w:val="20"/>
              </w:rPr>
              <w:t xml:space="preserve"> (an Academic Senate initiative) Counseling Toolkit provides High Schools with a career and educational planning tool tied to the C-ID System. </w:t>
            </w:r>
          </w:p>
        </w:tc>
        <w:tc>
          <w:tcPr>
            <w:tcW w:w="1861" w:type="dxa"/>
            <w:gridSpan w:val="2"/>
          </w:tcPr>
          <w:p w14:paraId="2841C864" w14:textId="77777777" w:rsidR="008F2847" w:rsidRDefault="007F31D8" w:rsidP="0035494F">
            <w:pPr>
              <w:rPr>
                <w:sz w:val="20"/>
                <w:szCs w:val="20"/>
              </w:rPr>
            </w:pPr>
            <w:r>
              <w:rPr>
                <w:sz w:val="20"/>
                <w:szCs w:val="20"/>
              </w:rPr>
              <w:t>Regional Consortia,</w:t>
            </w:r>
          </w:p>
          <w:p w14:paraId="110FC2F3" w14:textId="17A90A3A" w:rsidR="00C33731" w:rsidRPr="007F31D8" w:rsidRDefault="008F2847" w:rsidP="0035494F">
            <w:pPr>
              <w:rPr>
                <w:sz w:val="20"/>
                <w:szCs w:val="20"/>
              </w:rPr>
            </w:pPr>
            <w:r>
              <w:rPr>
                <w:sz w:val="20"/>
                <w:szCs w:val="20"/>
              </w:rPr>
              <w:t xml:space="preserve">EPI, </w:t>
            </w:r>
            <w:r w:rsidR="007F31D8">
              <w:rPr>
                <w:sz w:val="20"/>
                <w:szCs w:val="20"/>
              </w:rPr>
              <w:t xml:space="preserve">Chancellor’s Office </w:t>
            </w:r>
          </w:p>
        </w:tc>
        <w:tc>
          <w:tcPr>
            <w:tcW w:w="2886" w:type="dxa"/>
          </w:tcPr>
          <w:p w14:paraId="24B6AA1D" w14:textId="40AAFD39" w:rsidR="00C33731" w:rsidRPr="007F31D8" w:rsidRDefault="008F2847" w:rsidP="0035494F">
            <w:pPr>
              <w:rPr>
                <w:sz w:val="20"/>
                <w:szCs w:val="20"/>
              </w:rPr>
            </w:pPr>
            <w:r w:rsidRPr="0052396D">
              <w:rPr>
                <w:color w:val="FF0000"/>
                <w:sz w:val="20"/>
                <w:szCs w:val="20"/>
              </w:rPr>
              <w:t>ASCCC Lead</w:t>
            </w:r>
            <w:r w:rsidR="00A65F4A">
              <w:rPr>
                <w:rStyle w:val="FootnoteReference"/>
                <w:sz w:val="20"/>
                <w:szCs w:val="20"/>
              </w:rPr>
              <w:footnoteReference w:id="2"/>
            </w:r>
            <w:r>
              <w:rPr>
                <w:sz w:val="20"/>
                <w:szCs w:val="20"/>
              </w:rPr>
              <w:t xml:space="preserve">; </w:t>
            </w:r>
            <w:r w:rsidR="007F31D8" w:rsidRPr="007F31D8">
              <w:rPr>
                <w:sz w:val="20"/>
                <w:szCs w:val="20"/>
              </w:rPr>
              <w:t xml:space="preserve">Seek funding to continue this work. </w:t>
            </w:r>
          </w:p>
        </w:tc>
      </w:tr>
      <w:tr w:rsidR="00C33731" w14:paraId="7C68BC0B" w14:textId="77777777" w:rsidTr="00675558">
        <w:trPr>
          <w:trHeight w:val="611"/>
        </w:trPr>
        <w:tc>
          <w:tcPr>
            <w:tcW w:w="13860" w:type="dxa"/>
            <w:gridSpan w:val="9"/>
          </w:tcPr>
          <w:p w14:paraId="7E9D879E" w14:textId="77777777" w:rsidR="00C33731" w:rsidRPr="00351727" w:rsidRDefault="00C33731" w:rsidP="00C33731">
            <w:pPr>
              <w:pStyle w:val="ListParagraph"/>
              <w:numPr>
                <w:ilvl w:val="0"/>
                <w:numId w:val="8"/>
              </w:numPr>
              <w:rPr>
                <w:rFonts w:ascii="Times New Roman" w:hAnsi="Times New Roman" w:cs="Times New Roman"/>
                <w:b/>
                <w:u w:val="single"/>
              </w:rPr>
            </w:pPr>
            <w:r w:rsidRPr="00351727">
              <w:rPr>
                <w:rFonts w:ascii="Times New Roman" w:hAnsi="Times New Roman" w:cs="Times New Roman"/>
              </w:rPr>
              <w:t>Work with industry, labor, and workforce boards to develop and coordinate work-based learning opportunities, including internships and apprenticeships.</w:t>
            </w:r>
          </w:p>
        </w:tc>
      </w:tr>
      <w:tr w:rsidR="00C33731" w14:paraId="74D0B088" w14:textId="77777777" w:rsidTr="000D6D01">
        <w:tc>
          <w:tcPr>
            <w:tcW w:w="3330" w:type="dxa"/>
            <w:gridSpan w:val="2"/>
          </w:tcPr>
          <w:p w14:paraId="5902F7BE" w14:textId="7A74F94E" w:rsidR="00C33731" w:rsidRPr="004A7E6A" w:rsidRDefault="00724D1D" w:rsidP="0035494F">
            <w:pPr>
              <w:rPr>
                <w:sz w:val="20"/>
                <w:szCs w:val="20"/>
              </w:rPr>
            </w:pPr>
            <w:r w:rsidRPr="004A7E6A">
              <w:rPr>
                <w:color w:val="000000" w:themeColor="text1"/>
                <w:sz w:val="20"/>
                <w:szCs w:val="20"/>
              </w:rPr>
              <w:t>Educational program development</w:t>
            </w:r>
          </w:p>
        </w:tc>
        <w:tc>
          <w:tcPr>
            <w:tcW w:w="2633" w:type="dxa"/>
            <w:gridSpan w:val="2"/>
          </w:tcPr>
          <w:p w14:paraId="61E716B4" w14:textId="77777777" w:rsidR="00C33731" w:rsidRPr="00053FC2" w:rsidRDefault="00C33731" w:rsidP="0035494F">
            <w:pPr>
              <w:rPr>
                <w:b/>
                <w:u w:val="single"/>
              </w:rPr>
            </w:pPr>
          </w:p>
        </w:tc>
        <w:tc>
          <w:tcPr>
            <w:tcW w:w="3150" w:type="dxa"/>
            <w:gridSpan w:val="2"/>
          </w:tcPr>
          <w:p w14:paraId="4B7F43B7" w14:textId="7261C3CE" w:rsidR="000015A7" w:rsidRPr="000015A7" w:rsidRDefault="00C764A9" w:rsidP="000015A7">
            <w:pPr>
              <w:rPr>
                <w:rFonts w:eastAsia="Times New Roman"/>
                <w:sz w:val="20"/>
                <w:szCs w:val="20"/>
              </w:rPr>
            </w:pPr>
            <w:hyperlink r:id="rId10" w:history="1">
              <w:r w:rsidR="000015A7" w:rsidRPr="000015A7">
                <w:rPr>
                  <w:rStyle w:val="Hyperlink"/>
                  <w:rFonts w:eastAsia="Times New Roman"/>
                  <w:sz w:val="20"/>
                  <w:szCs w:val="20"/>
                </w:rPr>
                <w:t>20.01 S06 Work-based Learning Support</w:t>
              </w:r>
              <w:r w:rsidR="000015A7" w:rsidRPr="000015A7">
                <w:rPr>
                  <w:rStyle w:val="Hyperlink"/>
                  <w:rFonts w:eastAsia="Times New Roman"/>
                  <w:sz w:val="20"/>
                  <w:szCs w:val="20"/>
                </w:rPr>
                <w:br/>
              </w:r>
            </w:hyperlink>
            <w:r w:rsidR="000015A7">
              <w:rPr>
                <w:rFonts w:eastAsia="Times New Roman"/>
                <w:color w:val="574C45"/>
                <w:sz w:val="20"/>
                <w:szCs w:val="20"/>
              </w:rPr>
              <w:br/>
              <w:t>I</w:t>
            </w:r>
            <w:r w:rsidR="000015A7" w:rsidRPr="000015A7">
              <w:rPr>
                <w:rFonts w:eastAsia="Times New Roman"/>
                <w:color w:val="574C45"/>
                <w:sz w:val="20"/>
                <w:szCs w:val="20"/>
              </w:rPr>
              <w:t>nvestigate best practices for effective collaborations between work experience programs and local faculty and senates and provide to faculty some recommendations for strengthening these relationships</w:t>
            </w:r>
          </w:p>
          <w:p w14:paraId="795ED9B2" w14:textId="77777777" w:rsidR="00C33731" w:rsidRPr="00053FC2" w:rsidRDefault="00C33731" w:rsidP="0035494F">
            <w:pPr>
              <w:rPr>
                <w:b/>
                <w:u w:val="single"/>
              </w:rPr>
            </w:pPr>
          </w:p>
        </w:tc>
        <w:tc>
          <w:tcPr>
            <w:tcW w:w="1861" w:type="dxa"/>
            <w:gridSpan w:val="2"/>
          </w:tcPr>
          <w:p w14:paraId="46D2677E" w14:textId="739B0EB2" w:rsidR="00C33731" w:rsidRPr="00FD6EFB" w:rsidRDefault="00FD6EFB" w:rsidP="0035494F">
            <w:pPr>
              <w:rPr>
                <w:sz w:val="20"/>
                <w:szCs w:val="20"/>
              </w:rPr>
            </w:pPr>
            <w:r w:rsidRPr="00FD6EFB">
              <w:rPr>
                <w:sz w:val="20"/>
                <w:szCs w:val="20"/>
              </w:rPr>
              <w:t xml:space="preserve">Career Ladders Project </w:t>
            </w:r>
          </w:p>
        </w:tc>
        <w:tc>
          <w:tcPr>
            <w:tcW w:w="2886" w:type="dxa"/>
          </w:tcPr>
          <w:p w14:paraId="2E459464" w14:textId="6440D664" w:rsidR="00C33731" w:rsidRDefault="0052396D" w:rsidP="0035494F">
            <w:pPr>
              <w:rPr>
                <w:sz w:val="20"/>
                <w:szCs w:val="20"/>
              </w:rPr>
            </w:pPr>
            <w:r w:rsidRPr="0052396D">
              <w:rPr>
                <w:color w:val="FF0000"/>
                <w:sz w:val="20"/>
                <w:szCs w:val="20"/>
              </w:rPr>
              <w:t>ASCCC Lead</w:t>
            </w:r>
            <w:r>
              <w:rPr>
                <w:sz w:val="20"/>
                <w:szCs w:val="20"/>
              </w:rPr>
              <w:t xml:space="preserve">; </w:t>
            </w:r>
            <w:r w:rsidR="000015A7" w:rsidRPr="000015A7">
              <w:rPr>
                <w:sz w:val="20"/>
                <w:szCs w:val="20"/>
              </w:rPr>
              <w:t xml:space="preserve">Several </w:t>
            </w:r>
            <w:r w:rsidR="000015A7">
              <w:rPr>
                <w:sz w:val="20"/>
                <w:szCs w:val="20"/>
              </w:rPr>
              <w:t xml:space="preserve">resolutions and breakouts regarding the ASCCC studying work-based learning.  However, no other direction provided.  </w:t>
            </w:r>
          </w:p>
          <w:p w14:paraId="3E5A7933" w14:textId="77777777" w:rsidR="00A65F4A" w:rsidRDefault="00A65F4A" w:rsidP="0035494F">
            <w:pPr>
              <w:rPr>
                <w:sz w:val="20"/>
                <w:szCs w:val="20"/>
              </w:rPr>
            </w:pPr>
          </w:p>
          <w:p w14:paraId="10D920EC" w14:textId="35C70698" w:rsidR="00A65F4A" w:rsidRPr="00A65F4A" w:rsidRDefault="00A65F4A" w:rsidP="0035494F">
            <w:pPr>
              <w:rPr>
                <w:sz w:val="20"/>
                <w:szCs w:val="20"/>
              </w:rPr>
            </w:pPr>
          </w:p>
        </w:tc>
      </w:tr>
      <w:tr w:rsidR="00C33731" w14:paraId="0554D556" w14:textId="77777777" w:rsidTr="001C5EA8">
        <w:trPr>
          <w:trHeight w:val="314"/>
        </w:trPr>
        <w:tc>
          <w:tcPr>
            <w:tcW w:w="13860" w:type="dxa"/>
            <w:gridSpan w:val="9"/>
          </w:tcPr>
          <w:p w14:paraId="05115775" w14:textId="401BC120" w:rsidR="00C33731" w:rsidRPr="00351727" w:rsidRDefault="00C33731" w:rsidP="00C33731">
            <w:pPr>
              <w:pStyle w:val="ListParagraph"/>
              <w:numPr>
                <w:ilvl w:val="0"/>
                <w:numId w:val="8"/>
              </w:numPr>
              <w:rPr>
                <w:rFonts w:ascii="Times New Roman" w:hAnsi="Times New Roman" w:cs="Times New Roman"/>
                <w:b/>
                <w:u w:val="single"/>
              </w:rPr>
            </w:pPr>
            <w:r w:rsidRPr="00351727">
              <w:rPr>
                <w:rFonts w:ascii="Times New Roman" w:hAnsi="Times New Roman" w:cs="Times New Roman"/>
              </w:rPr>
              <w:t>Collaborate with workforce boards to enhance capacity to provide career counseling, job placement, and supportive services.</w:t>
            </w:r>
          </w:p>
        </w:tc>
      </w:tr>
      <w:tr w:rsidR="00C33731" w14:paraId="1CF3474B" w14:textId="77777777" w:rsidTr="000D6D01">
        <w:tc>
          <w:tcPr>
            <w:tcW w:w="3330" w:type="dxa"/>
            <w:gridSpan w:val="2"/>
          </w:tcPr>
          <w:p w14:paraId="56BF094D" w14:textId="77777777" w:rsidR="00335747" w:rsidRPr="004A7E6A" w:rsidRDefault="00335747" w:rsidP="00335747">
            <w:pPr>
              <w:rPr>
                <w:color w:val="000000" w:themeColor="text1"/>
                <w:sz w:val="20"/>
                <w:szCs w:val="20"/>
              </w:rPr>
            </w:pPr>
            <w:r w:rsidRPr="004A7E6A">
              <w:rPr>
                <w:color w:val="000000" w:themeColor="text1"/>
                <w:sz w:val="20"/>
                <w:szCs w:val="20"/>
              </w:rPr>
              <w:t>Standards or policies regarding student preparation and success</w:t>
            </w:r>
          </w:p>
          <w:p w14:paraId="2288EFB4" w14:textId="77777777" w:rsidR="00C33731" w:rsidRPr="00053FC2" w:rsidRDefault="00C33731" w:rsidP="0035494F">
            <w:pPr>
              <w:rPr>
                <w:b/>
                <w:u w:val="single"/>
              </w:rPr>
            </w:pPr>
          </w:p>
        </w:tc>
        <w:tc>
          <w:tcPr>
            <w:tcW w:w="2633" w:type="dxa"/>
            <w:gridSpan w:val="2"/>
          </w:tcPr>
          <w:p w14:paraId="7A608D5A" w14:textId="77777777" w:rsidR="00C33731" w:rsidRPr="00053FC2" w:rsidRDefault="00C33731" w:rsidP="0035494F">
            <w:pPr>
              <w:rPr>
                <w:b/>
                <w:u w:val="single"/>
              </w:rPr>
            </w:pPr>
          </w:p>
        </w:tc>
        <w:tc>
          <w:tcPr>
            <w:tcW w:w="3150" w:type="dxa"/>
            <w:gridSpan w:val="2"/>
          </w:tcPr>
          <w:p w14:paraId="70B1599F" w14:textId="3C3FFEC3" w:rsidR="00C33731" w:rsidRPr="00637782" w:rsidRDefault="00637782" w:rsidP="0035494F">
            <w:pPr>
              <w:rPr>
                <w:rStyle w:val="Hyperlink"/>
                <w:sz w:val="20"/>
                <w:szCs w:val="20"/>
              </w:rPr>
            </w:pPr>
            <w:r>
              <w:rPr>
                <w:sz w:val="20"/>
                <w:szCs w:val="20"/>
              </w:rPr>
              <w:fldChar w:fldCharType="begin"/>
            </w:r>
            <w:r>
              <w:rPr>
                <w:sz w:val="20"/>
                <w:szCs w:val="20"/>
              </w:rPr>
              <w:instrText xml:space="preserve"> HYPERLINK "http://www.asccc.org/resolutions/career-awareness" </w:instrText>
            </w:r>
            <w:r>
              <w:rPr>
                <w:sz w:val="20"/>
                <w:szCs w:val="20"/>
              </w:rPr>
              <w:fldChar w:fldCharType="separate"/>
            </w:r>
            <w:r w:rsidRPr="00637782">
              <w:rPr>
                <w:rStyle w:val="Hyperlink"/>
                <w:sz w:val="20"/>
                <w:szCs w:val="20"/>
              </w:rPr>
              <w:t>21.11 F94 Career Awareness</w:t>
            </w:r>
          </w:p>
          <w:p w14:paraId="651BA20A" w14:textId="1214321E" w:rsidR="00637782" w:rsidRPr="00637782" w:rsidRDefault="00637782" w:rsidP="0035494F">
            <w:pPr>
              <w:rPr>
                <w:sz w:val="20"/>
                <w:szCs w:val="20"/>
              </w:rPr>
            </w:pPr>
            <w:r>
              <w:rPr>
                <w:sz w:val="20"/>
                <w:szCs w:val="20"/>
              </w:rPr>
              <w:fldChar w:fldCharType="end"/>
            </w:r>
            <w:r>
              <w:rPr>
                <w:sz w:val="20"/>
                <w:szCs w:val="20"/>
              </w:rPr>
              <w:t>R</w:t>
            </w:r>
            <w:r w:rsidRPr="00637782">
              <w:rPr>
                <w:sz w:val="20"/>
                <w:szCs w:val="20"/>
              </w:rPr>
              <w:t>ecommend to the group which will eventually design the School-to-Career program that those students who have not had the benefit of career awareness curriculum and career alternatives curriculum have at least 10 hours career counseling and supervised career exploration available to help them with their decision.</w:t>
            </w:r>
          </w:p>
        </w:tc>
        <w:tc>
          <w:tcPr>
            <w:tcW w:w="1861" w:type="dxa"/>
            <w:gridSpan w:val="2"/>
          </w:tcPr>
          <w:p w14:paraId="70244CA5" w14:textId="77777777" w:rsidR="00C33731" w:rsidRPr="00053FC2" w:rsidRDefault="00C33731" w:rsidP="0035494F">
            <w:pPr>
              <w:rPr>
                <w:b/>
                <w:u w:val="single"/>
              </w:rPr>
            </w:pPr>
          </w:p>
        </w:tc>
        <w:tc>
          <w:tcPr>
            <w:tcW w:w="2886" w:type="dxa"/>
          </w:tcPr>
          <w:p w14:paraId="3B9D4F2D" w14:textId="70547345" w:rsidR="00C33731" w:rsidRPr="00637782" w:rsidRDefault="00A65F4A" w:rsidP="0035494F">
            <w:pPr>
              <w:rPr>
                <w:sz w:val="20"/>
                <w:szCs w:val="20"/>
              </w:rPr>
            </w:pPr>
            <w:r w:rsidRPr="0052396D">
              <w:rPr>
                <w:color w:val="FF0000"/>
                <w:sz w:val="20"/>
                <w:szCs w:val="20"/>
              </w:rPr>
              <w:t xml:space="preserve">Advisory role. </w:t>
            </w:r>
          </w:p>
        </w:tc>
      </w:tr>
      <w:tr w:rsidR="00C33731" w14:paraId="51DF833F" w14:textId="77777777" w:rsidTr="00E61CAC">
        <w:trPr>
          <w:trHeight w:val="575"/>
        </w:trPr>
        <w:tc>
          <w:tcPr>
            <w:tcW w:w="13860" w:type="dxa"/>
            <w:gridSpan w:val="9"/>
          </w:tcPr>
          <w:p w14:paraId="3C02C8D6" w14:textId="5EC817E1" w:rsidR="00C33731" w:rsidRPr="00351727" w:rsidRDefault="00C33731" w:rsidP="000D6D01">
            <w:pPr>
              <w:pStyle w:val="ListParagraph"/>
              <w:numPr>
                <w:ilvl w:val="0"/>
                <w:numId w:val="8"/>
              </w:numPr>
              <w:spacing w:line="240" w:lineRule="auto"/>
              <w:rPr>
                <w:rFonts w:ascii="Times New Roman" w:hAnsi="Times New Roman" w:cs="Times New Roman"/>
                <w:b/>
                <w:u w:val="single"/>
              </w:rPr>
            </w:pPr>
            <w:r w:rsidRPr="00351727">
              <w:rPr>
                <w:rFonts w:ascii="Times New Roman" w:hAnsi="Times New Roman" w:cs="Times New Roman"/>
              </w:rPr>
              <w:t>Enhance capacity of counselors to provide CTE-related program counseling through professional development and the sharing of best practices such as designating counselors as CTE specific or designating liaisons to CTE programs.</w:t>
            </w:r>
          </w:p>
        </w:tc>
      </w:tr>
      <w:tr w:rsidR="00C33731" w14:paraId="6B51C011" w14:textId="77777777" w:rsidTr="000D6D01">
        <w:tc>
          <w:tcPr>
            <w:tcW w:w="3330" w:type="dxa"/>
            <w:gridSpan w:val="2"/>
          </w:tcPr>
          <w:p w14:paraId="06BAE8FF" w14:textId="79D4ACA1" w:rsidR="00C33731" w:rsidRPr="004A7E6A" w:rsidRDefault="00335747" w:rsidP="0035494F">
            <w:pPr>
              <w:rPr>
                <w:color w:val="538135" w:themeColor="accent6" w:themeShade="BF"/>
                <w:sz w:val="20"/>
                <w:szCs w:val="20"/>
              </w:rPr>
            </w:pPr>
            <w:r w:rsidRPr="004A7E6A">
              <w:rPr>
                <w:color w:val="000000" w:themeColor="text1"/>
                <w:sz w:val="20"/>
                <w:szCs w:val="20"/>
              </w:rPr>
              <w:t xml:space="preserve">Policies for faculty professional </w:t>
            </w:r>
            <w:r w:rsidRPr="004A7E6A">
              <w:rPr>
                <w:color w:val="000000" w:themeColor="text1"/>
                <w:sz w:val="20"/>
                <w:szCs w:val="20"/>
              </w:rPr>
              <w:lastRenderedPageBreak/>
              <w:t>development activities</w:t>
            </w:r>
          </w:p>
        </w:tc>
        <w:tc>
          <w:tcPr>
            <w:tcW w:w="2633" w:type="dxa"/>
            <w:gridSpan w:val="2"/>
          </w:tcPr>
          <w:p w14:paraId="4B8941B2" w14:textId="77777777" w:rsidR="00C33731" w:rsidRPr="00053FC2" w:rsidRDefault="00C33731" w:rsidP="0035494F">
            <w:pPr>
              <w:rPr>
                <w:b/>
                <w:u w:val="single"/>
              </w:rPr>
            </w:pPr>
          </w:p>
        </w:tc>
        <w:tc>
          <w:tcPr>
            <w:tcW w:w="3150" w:type="dxa"/>
            <w:gridSpan w:val="2"/>
          </w:tcPr>
          <w:p w14:paraId="7DDF7F51" w14:textId="1151CB75" w:rsidR="00C33731" w:rsidRPr="00B16F8B" w:rsidRDefault="00B16F8B" w:rsidP="0035494F">
            <w:pPr>
              <w:rPr>
                <w:rStyle w:val="Hyperlink"/>
                <w:sz w:val="20"/>
                <w:szCs w:val="20"/>
              </w:rPr>
            </w:pPr>
            <w:r>
              <w:rPr>
                <w:sz w:val="20"/>
                <w:szCs w:val="20"/>
              </w:rPr>
              <w:fldChar w:fldCharType="begin"/>
            </w:r>
            <w:r>
              <w:rPr>
                <w:sz w:val="20"/>
                <w:szCs w:val="20"/>
              </w:rPr>
              <w:instrText xml:space="preserve"> HYPERLINK "http://www.asccc.org/resolutions/curriculum-development-school-career" </w:instrText>
            </w:r>
            <w:r>
              <w:rPr>
                <w:sz w:val="20"/>
                <w:szCs w:val="20"/>
              </w:rPr>
              <w:fldChar w:fldCharType="separate"/>
            </w:r>
            <w:r w:rsidRPr="00B16F8B">
              <w:rPr>
                <w:rStyle w:val="Hyperlink"/>
                <w:sz w:val="20"/>
                <w:szCs w:val="20"/>
              </w:rPr>
              <w:t xml:space="preserve">21.12 F94 Curriculum Development </w:t>
            </w:r>
            <w:r w:rsidRPr="00B16F8B">
              <w:rPr>
                <w:rStyle w:val="Hyperlink"/>
                <w:sz w:val="20"/>
                <w:szCs w:val="20"/>
              </w:rPr>
              <w:lastRenderedPageBreak/>
              <w:t xml:space="preserve">for School-to-Career </w:t>
            </w:r>
          </w:p>
          <w:p w14:paraId="2C18750E" w14:textId="6943CCA7" w:rsidR="00B16F8B" w:rsidRPr="00B16F8B" w:rsidRDefault="00B16F8B" w:rsidP="00B16F8B">
            <w:pPr>
              <w:rPr>
                <w:sz w:val="20"/>
                <w:szCs w:val="20"/>
              </w:rPr>
            </w:pPr>
            <w:r>
              <w:rPr>
                <w:sz w:val="20"/>
                <w:szCs w:val="20"/>
              </w:rPr>
              <w:fldChar w:fldCharType="end"/>
            </w:r>
            <w:r>
              <w:rPr>
                <w:sz w:val="20"/>
                <w:szCs w:val="20"/>
              </w:rPr>
              <w:t>D</w:t>
            </w:r>
            <w:r w:rsidRPr="00B16F8B">
              <w:rPr>
                <w:sz w:val="20"/>
                <w:szCs w:val="20"/>
              </w:rPr>
              <w:t>irect the Executive Committee to urge the Governor's School-to-Career Task Force to have the career awareness curriculum developed by faculty who have experience in career counseling.</w:t>
            </w:r>
          </w:p>
          <w:p w14:paraId="235883F2" w14:textId="77777777" w:rsidR="00B16F8B" w:rsidRPr="00B16F8B" w:rsidRDefault="00B16F8B" w:rsidP="0035494F">
            <w:pPr>
              <w:rPr>
                <w:sz w:val="20"/>
                <w:szCs w:val="20"/>
              </w:rPr>
            </w:pPr>
          </w:p>
          <w:p w14:paraId="6BAA394E" w14:textId="77777777" w:rsidR="00B16F8B" w:rsidRPr="00053FC2" w:rsidRDefault="00B16F8B" w:rsidP="0035494F">
            <w:pPr>
              <w:rPr>
                <w:b/>
                <w:u w:val="single"/>
              </w:rPr>
            </w:pPr>
          </w:p>
        </w:tc>
        <w:tc>
          <w:tcPr>
            <w:tcW w:w="1861" w:type="dxa"/>
            <w:gridSpan w:val="2"/>
          </w:tcPr>
          <w:p w14:paraId="7C6557E6" w14:textId="77777777" w:rsidR="00C33731" w:rsidRPr="00053FC2" w:rsidRDefault="00C33731" w:rsidP="0035494F">
            <w:pPr>
              <w:rPr>
                <w:b/>
                <w:u w:val="single"/>
              </w:rPr>
            </w:pPr>
          </w:p>
        </w:tc>
        <w:tc>
          <w:tcPr>
            <w:tcW w:w="2886" w:type="dxa"/>
          </w:tcPr>
          <w:p w14:paraId="56EA086A" w14:textId="2F283A94" w:rsidR="00C33731" w:rsidRPr="00B16F8B" w:rsidRDefault="00B16F8B" w:rsidP="0035494F">
            <w:pPr>
              <w:rPr>
                <w:sz w:val="20"/>
                <w:szCs w:val="20"/>
              </w:rPr>
            </w:pPr>
            <w:r w:rsidRPr="0052396D">
              <w:rPr>
                <w:color w:val="FF0000"/>
                <w:sz w:val="20"/>
                <w:szCs w:val="20"/>
              </w:rPr>
              <w:t>ASCCC Lead</w:t>
            </w:r>
          </w:p>
        </w:tc>
      </w:tr>
      <w:tr w:rsidR="00C33731" w14:paraId="1C70574D" w14:textId="77777777" w:rsidTr="00414C13">
        <w:tc>
          <w:tcPr>
            <w:tcW w:w="13860" w:type="dxa"/>
            <w:gridSpan w:val="9"/>
          </w:tcPr>
          <w:p w14:paraId="3A424C27" w14:textId="0224505F" w:rsidR="00C33731" w:rsidRPr="00351727" w:rsidRDefault="00C33731" w:rsidP="00C33731">
            <w:pPr>
              <w:pStyle w:val="ListParagraph"/>
              <w:numPr>
                <w:ilvl w:val="0"/>
                <w:numId w:val="8"/>
              </w:numPr>
              <w:rPr>
                <w:rFonts w:ascii="Times New Roman" w:hAnsi="Times New Roman" w:cs="Times New Roman"/>
                <w:b/>
                <w:u w:val="single"/>
              </w:rPr>
            </w:pPr>
            <w:r w:rsidRPr="00351727">
              <w:rPr>
                <w:rFonts w:ascii="Times New Roman" w:hAnsi="Times New Roman" w:cs="Times New Roman"/>
              </w:rPr>
              <w:lastRenderedPageBreak/>
              <w:t>Support efforts to increase financial support under the Cal Grant C program for community college CTE students.</w:t>
            </w:r>
          </w:p>
        </w:tc>
      </w:tr>
      <w:tr w:rsidR="00C33731" w14:paraId="6F435997" w14:textId="77777777" w:rsidTr="000D6D01">
        <w:tc>
          <w:tcPr>
            <w:tcW w:w="3330" w:type="dxa"/>
            <w:gridSpan w:val="2"/>
          </w:tcPr>
          <w:p w14:paraId="1CD1E45D" w14:textId="77777777" w:rsidR="00C33731" w:rsidRPr="00053FC2" w:rsidRDefault="00C33731" w:rsidP="0035494F">
            <w:pPr>
              <w:rPr>
                <w:b/>
                <w:u w:val="single"/>
              </w:rPr>
            </w:pPr>
          </w:p>
        </w:tc>
        <w:tc>
          <w:tcPr>
            <w:tcW w:w="2633" w:type="dxa"/>
            <w:gridSpan w:val="2"/>
          </w:tcPr>
          <w:p w14:paraId="3B3290E3" w14:textId="77777777" w:rsidR="00C33731" w:rsidRPr="00053FC2" w:rsidRDefault="00C33731" w:rsidP="0035494F">
            <w:pPr>
              <w:rPr>
                <w:b/>
                <w:u w:val="single"/>
              </w:rPr>
            </w:pPr>
          </w:p>
        </w:tc>
        <w:tc>
          <w:tcPr>
            <w:tcW w:w="3150" w:type="dxa"/>
            <w:gridSpan w:val="2"/>
          </w:tcPr>
          <w:p w14:paraId="1DED2AC9" w14:textId="77777777" w:rsidR="00C33731" w:rsidRPr="00053FC2" w:rsidRDefault="00C33731" w:rsidP="0035494F">
            <w:pPr>
              <w:rPr>
                <w:b/>
                <w:u w:val="single"/>
              </w:rPr>
            </w:pPr>
          </w:p>
        </w:tc>
        <w:tc>
          <w:tcPr>
            <w:tcW w:w="1861" w:type="dxa"/>
            <w:gridSpan w:val="2"/>
          </w:tcPr>
          <w:p w14:paraId="2E8F1E16" w14:textId="77777777" w:rsidR="00C33731" w:rsidRPr="00053FC2" w:rsidRDefault="00C33731" w:rsidP="0035494F">
            <w:pPr>
              <w:rPr>
                <w:b/>
                <w:u w:val="single"/>
              </w:rPr>
            </w:pPr>
          </w:p>
        </w:tc>
        <w:tc>
          <w:tcPr>
            <w:tcW w:w="2886" w:type="dxa"/>
          </w:tcPr>
          <w:p w14:paraId="43820D41" w14:textId="266DAF85" w:rsidR="00C33731" w:rsidRPr="0052396D" w:rsidRDefault="0052396D" w:rsidP="0035494F">
            <w:pPr>
              <w:rPr>
                <w:sz w:val="20"/>
                <w:szCs w:val="20"/>
              </w:rPr>
            </w:pPr>
            <w:r w:rsidRPr="0052396D">
              <w:rPr>
                <w:color w:val="FF0000"/>
                <w:sz w:val="20"/>
                <w:szCs w:val="20"/>
              </w:rPr>
              <w:t xml:space="preserve">ASCCC Advisory </w:t>
            </w:r>
          </w:p>
        </w:tc>
      </w:tr>
      <w:tr w:rsidR="0035494F" w14:paraId="3C2ED29D" w14:textId="77777777" w:rsidTr="00414C13">
        <w:tc>
          <w:tcPr>
            <w:tcW w:w="13860" w:type="dxa"/>
            <w:gridSpan w:val="9"/>
          </w:tcPr>
          <w:p w14:paraId="05D0F40A" w14:textId="77777777" w:rsidR="0035494F" w:rsidRPr="00351727" w:rsidRDefault="0035494F" w:rsidP="0035494F">
            <w:pPr>
              <w:pStyle w:val="ListParagraph"/>
              <w:numPr>
                <w:ilvl w:val="0"/>
                <w:numId w:val="3"/>
              </w:numPr>
              <w:rPr>
                <w:rFonts w:ascii="Times New Roman" w:hAnsi="Times New Roman" w:cs="Times New Roman"/>
                <w:b/>
                <w:u w:val="single"/>
              </w:rPr>
            </w:pPr>
            <w:r w:rsidRPr="00351727">
              <w:rPr>
                <w:rFonts w:ascii="Times New Roman" w:hAnsi="Times New Roman" w:cs="Times New Roman"/>
                <w:b/>
              </w:rPr>
              <w:t xml:space="preserve">Improve CTE student progress and outcomes. </w:t>
            </w:r>
          </w:p>
        </w:tc>
      </w:tr>
      <w:tr w:rsidR="001C619B" w14:paraId="5CCE4C6B" w14:textId="77777777" w:rsidTr="00414C13">
        <w:tc>
          <w:tcPr>
            <w:tcW w:w="13860" w:type="dxa"/>
            <w:gridSpan w:val="9"/>
          </w:tcPr>
          <w:p w14:paraId="6B52A69A" w14:textId="77777777" w:rsidR="001C619B" w:rsidRPr="00351727" w:rsidRDefault="001C619B" w:rsidP="001C619B">
            <w:pPr>
              <w:pStyle w:val="ListParagraph"/>
              <w:numPr>
                <w:ilvl w:val="0"/>
                <w:numId w:val="9"/>
              </w:numPr>
              <w:rPr>
                <w:rFonts w:ascii="Times New Roman" w:hAnsi="Times New Roman" w:cs="Times New Roman"/>
                <w:b/>
                <w:u w:val="single"/>
              </w:rPr>
            </w:pPr>
            <w:r w:rsidRPr="00351727">
              <w:rPr>
                <w:rFonts w:ascii="Times New Roman" w:hAnsi="Times New Roman" w:cs="Times New Roman"/>
              </w:rPr>
              <w:t>Enable and support faculty to coordinate with industry to identify required work-based and skill competencies, including technology, for specified occupations in order to facilitate student advancement through mechanisms such as authentic competency-based assessments.</w:t>
            </w:r>
          </w:p>
        </w:tc>
      </w:tr>
      <w:tr w:rsidR="001C619B" w14:paraId="0C5C1413" w14:textId="77777777" w:rsidTr="000D6D01">
        <w:tc>
          <w:tcPr>
            <w:tcW w:w="3330" w:type="dxa"/>
            <w:gridSpan w:val="2"/>
          </w:tcPr>
          <w:p w14:paraId="76ED1406" w14:textId="04F0BB66" w:rsidR="00335747" w:rsidRPr="000D6D01" w:rsidRDefault="00335747" w:rsidP="000D6D01">
            <w:pPr>
              <w:pStyle w:val="ListParagraph"/>
              <w:numPr>
                <w:ilvl w:val="0"/>
                <w:numId w:val="35"/>
              </w:numPr>
              <w:spacing w:line="240" w:lineRule="auto"/>
              <w:ind w:left="360"/>
              <w:rPr>
                <w:rFonts w:ascii="Times New Roman" w:hAnsi="Times New Roman" w:cs="Times New Roman"/>
                <w:color w:val="000000" w:themeColor="text1"/>
                <w:sz w:val="20"/>
                <w:szCs w:val="20"/>
              </w:rPr>
            </w:pPr>
            <w:r w:rsidRPr="000D6D01">
              <w:rPr>
                <w:rFonts w:ascii="Times New Roman" w:hAnsi="Times New Roman" w:cs="Times New Roman"/>
                <w:color w:val="000000" w:themeColor="text1"/>
                <w:sz w:val="20"/>
                <w:szCs w:val="20"/>
              </w:rPr>
              <w:t>Standards or policies regarding student preparation and success</w:t>
            </w:r>
          </w:p>
          <w:p w14:paraId="4F74AE8B" w14:textId="429DA7C8" w:rsidR="00335747" w:rsidRPr="000D6D01" w:rsidRDefault="00335747" w:rsidP="000D6D01">
            <w:pPr>
              <w:pStyle w:val="ListParagraph"/>
              <w:numPr>
                <w:ilvl w:val="0"/>
                <w:numId w:val="35"/>
              </w:numPr>
              <w:spacing w:line="240" w:lineRule="auto"/>
              <w:ind w:left="360"/>
              <w:rPr>
                <w:rFonts w:ascii="Times New Roman" w:hAnsi="Times New Roman" w:cs="Times New Roman"/>
                <w:color w:val="000000" w:themeColor="text1"/>
                <w:sz w:val="20"/>
                <w:szCs w:val="20"/>
              </w:rPr>
            </w:pPr>
            <w:r w:rsidRPr="000D6D01">
              <w:rPr>
                <w:rFonts w:ascii="Times New Roman" w:hAnsi="Times New Roman" w:cs="Times New Roman"/>
                <w:color w:val="000000" w:themeColor="text1"/>
                <w:sz w:val="20"/>
                <w:szCs w:val="20"/>
              </w:rPr>
              <w:t>Educational program development</w:t>
            </w:r>
          </w:p>
          <w:p w14:paraId="7156830E" w14:textId="4A58E636" w:rsidR="001C619B" w:rsidRPr="000D6D01" w:rsidRDefault="00335747" w:rsidP="000D6D01">
            <w:pPr>
              <w:pStyle w:val="ListParagraph"/>
              <w:numPr>
                <w:ilvl w:val="0"/>
                <w:numId w:val="35"/>
              </w:numPr>
              <w:spacing w:line="240" w:lineRule="auto"/>
              <w:ind w:left="360"/>
              <w:rPr>
                <w:color w:val="000000" w:themeColor="text1"/>
                <w:sz w:val="20"/>
                <w:szCs w:val="20"/>
              </w:rPr>
            </w:pPr>
            <w:r w:rsidRPr="000D6D01">
              <w:rPr>
                <w:rFonts w:ascii="Times New Roman" w:hAnsi="Times New Roman" w:cs="Times New Roman"/>
                <w:color w:val="000000" w:themeColor="text1"/>
                <w:sz w:val="20"/>
                <w:szCs w:val="20"/>
              </w:rPr>
              <w:t>Curriculum</w:t>
            </w:r>
          </w:p>
        </w:tc>
        <w:tc>
          <w:tcPr>
            <w:tcW w:w="2633" w:type="dxa"/>
            <w:gridSpan w:val="2"/>
          </w:tcPr>
          <w:p w14:paraId="1EEE964A" w14:textId="52957B57" w:rsidR="001C619B" w:rsidRPr="004A7E6A" w:rsidRDefault="00960AEF" w:rsidP="0035494F">
            <w:pPr>
              <w:rPr>
                <w:color w:val="000000" w:themeColor="text1"/>
                <w:sz w:val="20"/>
                <w:szCs w:val="20"/>
              </w:rPr>
            </w:pPr>
            <w:r w:rsidRPr="004A7E6A">
              <w:rPr>
                <w:color w:val="000000" w:themeColor="text1"/>
                <w:sz w:val="20"/>
                <w:szCs w:val="20"/>
              </w:rPr>
              <w:t>Policy direction on industry involvement in the C-ID and Model Curriculum process.</w:t>
            </w:r>
          </w:p>
        </w:tc>
        <w:tc>
          <w:tcPr>
            <w:tcW w:w="3150" w:type="dxa"/>
            <w:gridSpan w:val="2"/>
          </w:tcPr>
          <w:p w14:paraId="355C0B38" w14:textId="575A8228" w:rsidR="001C619B" w:rsidRPr="004A7E6A" w:rsidRDefault="00B16F8B" w:rsidP="0035494F">
            <w:pPr>
              <w:rPr>
                <w:rStyle w:val="Hyperlink"/>
                <w:sz w:val="20"/>
                <w:szCs w:val="20"/>
              </w:rPr>
            </w:pPr>
            <w:r w:rsidRPr="004A7E6A">
              <w:rPr>
                <w:sz w:val="20"/>
                <w:szCs w:val="20"/>
              </w:rPr>
              <w:fldChar w:fldCharType="begin"/>
            </w:r>
            <w:r w:rsidRPr="004A7E6A">
              <w:rPr>
                <w:sz w:val="20"/>
                <w:szCs w:val="20"/>
              </w:rPr>
              <w:instrText xml:space="preserve"> HYPERLINK "http://www.asccc.org/resolutions/work-based-learning-support" </w:instrText>
            </w:r>
            <w:r w:rsidRPr="004A7E6A">
              <w:rPr>
                <w:sz w:val="20"/>
                <w:szCs w:val="20"/>
              </w:rPr>
              <w:fldChar w:fldCharType="separate"/>
            </w:r>
            <w:r w:rsidRPr="004A7E6A">
              <w:rPr>
                <w:rStyle w:val="Hyperlink"/>
                <w:sz w:val="20"/>
                <w:szCs w:val="20"/>
              </w:rPr>
              <w:t>20.01 S06 Work-based Learning Support</w:t>
            </w:r>
          </w:p>
          <w:p w14:paraId="46400B1A" w14:textId="211DF51A" w:rsidR="00B16F8B" w:rsidRPr="004A7E6A" w:rsidRDefault="00B16F8B" w:rsidP="0035494F">
            <w:pPr>
              <w:rPr>
                <w:sz w:val="20"/>
                <w:szCs w:val="20"/>
              </w:rPr>
            </w:pPr>
            <w:r w:rsidRPr="004A7E6A">
              <w:rPr>
                <w:sz w:val="20"/>
                <w:szCs w:val="20"/>
              </w:rPr>
              <w:fldChar w:fldCharType="end"/>
            </w:r>
            <w:r w:rsidRPr="004A7E6A">
              <w:rPr>
                <w:sz w:val="20"/>
                <w:szCs w:val="20"/>
              </w:rPr>
              <w:t>Investigate best practices for effective collaborations between work experience programs and local faculty and senates and provide to faculty some recommendations for strengthening these relationships.</w:t>
            </w:r>
          </w:p>
          <w:p w14:paraId="1B0C590B" w14:textId="77777777" w:rsidR="00C91328" w:rsidRPr="004A7E6A" w:rsidRDefault="00C91328" w:rsidP="0035494F">
            <w:pPr>
              <w:rPr>
                <w:sz w:val="20"/>
                <w:szCs w:val="20"/>
              </w:rPr>
            </w:pPr>
          </w:p>
          <w:p w14:paraId="43C0C4F3" w14:textId="748F21BC" w:rsidR="00C91328" w:rsidRPr="004A7E6A" w:rsidRDefault="00C8444E" w:rsidP="0035494F">
            <w:pPr>
              <w:rPr>
                <w:rStyle w:val="Hyperlink"/>
                <w:sz w:val="20"/>
                <w:szCs w:val="20"/>
              </w:rPr>
            </w:pPr>
            <w:r w:rsidRPr="004A7E6A">
              <w:rPr>
                <w:sz w:val="20"/>
                <w:szCs w:val="20"/>
              </w:rPr>
              <w:fldChar w:fldCharType="begin"/>
            </w:r>
            <w:r w:rsidRPr="004A7E6A">
              <w:rPr>
                <w:sz w:val="20"/>
                <w:szCs w:val="20"/>
              </w:rPr>
              <w:instrText xml:space="preserve"> HYPERLINK "http://www.asccc.org/resolutions/work-based-learning" </w:instrText>
            </w:r>
            <w:r w:rsidRPr="004A7E6A">
              <w:rPr>
                <w:sz w:val="20"/>
                <w:szCs w:val="20"/>
              </w:rPr>
              <w:fldChar w:fldCharType="separate"/>
            </w:r>
            <w:r w:rsidRPr="004A7E6A">
              <w:rPr>
                <w:rStyle w:val="Hyperlink"/>
                <w:sz w:val="20"/>
                <w:szCs w:val="20"/>
              </w:rPr>
              <w:t xml:space="preserve">20.05 F98 Work-based Learning </w:t>
            </w:r>
          </w:p>
          <w:p w14:paraId="061FCFB3" w14:textId="353A8570" w:rsidR="00C8444E" w:rsidRPr="000D6D01" w:rsidRDefault="00C8444E" w:rsidP="00C8444E">
            <w:pPr>
              <w:rPr>
                <w:sz w:val="20"/>
                <w:szCs w:val="20"/>
              </w:rPr>
            </w:pPr>
            <w:r w:rsidRPr="004A7E6A">
              <w:rPr>
                <w:sz w:val="20"/>
                <w:szCs w:val="20"/>
              </w:rPr>
              <w:fldChar w:fldCharType="end"/>
            </w:r>
            <w:r w:rsidRPr="004A7E6A">
              <w:rPr>
                <w:rFonts w:eastAsia="Times New Roman"/>
                <w:color w:val="574C45"/>
                <w:sz w:val="20"/>
                <w:szCs w:val="20"/>
              </w:rPr>
              <w:t>Establish a task force to develop strategies and guidelines for colleges to implement work based learning to help students see the connection between education and work. </w:t>
            </w:r>
          </w:p>
          <w:p w14:paraId="320E2528" w14:textId="77777777" w:rsidR="00C8444E" w:rsidRPr="004A7E6A" w:rsidRDefault="00C8444E" w:rsidP="0035494F">
            <w:pPr>
              <w:rPr>
                <w:sz w:val="20"/>
                <w:szCs w:val="20"/>
              </w:rPr>
            </w:pPr>
          </w:p>
          <w:p w14:paraId="0E942F74" w14:textId="4A0B302F" w:rsidR="0060752D" w:rsidRPr="004A7E6A" w:rsidRDefault="0060752D" w:rsidP="0035494F">
            <w:pPr>
              <w:rPr>
                <w:rStyle w:val="Hyperlink"/>
                <w:sz w:val="20"/>
                <w:szCs w:val="20"/>
              </w:rPr>
            </w:pPr>
            <w:r w:rsidRPr="004A7E6A">
              <w:rPr>
                <w:sz w:val="20"/>
                <w:szCs w:val="20"/>
              </w:rPr>
              <w:fldChar w:fldCharType="begin"/>
            </w:r>
            <w:r w:rsidRPr="004A7E6A">
              <w:rPr>
                <w:sz w:val="20"/>
                <w:szCs w:val="20"/>
              </w:rPr>
              <w:instrText xml:space="preserve"> HYPERLINK "http://www.asccc.org/resolutions/statewide-committee-workplace-experience" </w:instrText>
            </w:r>
            <w:r w:rsidRPr="004A7E6A">
              <w:rPr>
                <w:sz w:val="20"/>
                <w:szCs w:val="20"/>
              </w:rPr>
              <w:fldChar w:fldCharType="separate"/>
            </w:r>
            <w:r w:rsidRPr="004A7E6A">
              <w:rPr>
                <w:rStyle w:val="Hyperlink"/>
                <w:sz w:val="20"/>
                <w:szCs w:val="20"/>
              </w:rPr>
              <w:t xml:space="preserve">21.03 F99 Statewide Committee on Workplace Experience </w:t>
            </w:r>
          </w:p>
          <w:p w14:paraId="1103DEA3" w14:textId="1550B100" w:rsidR="0060752D" w:rsidRPr="004A7E6A" w:rsidRDefault="0060752D" w:rsidP="0060752D">
            <w:pPr>
              <w:rPr>
                <w:sz w:val="20"/>
                <w:szCs w:val="20"/>
              </w:rPr>
            </w:pPr>
            <w:r w:rsidRPr="004A7E6A">
              <w:rPr>
                <w:sz w:val="20"/>
                <w:szCs w:val="20"/>
              </w:rPr>
              <w:fldChar w:fldCharType="end"/>
            </w:r>
            <w:r w:rsidRPr="004A7E6A">
              <w:rPr>
                <w:sz w:val="20"/>
                <w:szCs w:val="20"/>
              </w:rPr>
              <w:t>Support and promote faculty and student involvement in learning about the evolving world of work.</w:t>
            </w:r>
          </w:p>
          <w:p w14:paraId="10C38448" w14:textId="77777777" w:rsidR="0060752D" w:rsidRPr="004A7E6A" w:rsidRDefault="0060752D" w:rsidP="0035494F">
            <w:pPr>
              <w:rPr>
                <w:sz w:val="20"/>
                <w:szCs w:val="20"/>
              </w:rPr>
            </w:pPr>
          </w:p>
          <w:p w14:paraId="4208656E" w14:textId="77777777" w:rsidR="00B16F8B" w:rsidRPr="004A7E6A" w:rsidRDefault="00B16F8B" w:rsidP="0035494F">
            <w:pPr>
              <w:rPr>
                <w:b/>
                <w:sz w:val="20"/>
                <w:szCs w:val="20"/>
                <w:u w:val="single"/>
              </w:rPr>
            </w:pPr>
          </w:p>
        </w:tc>
        <w:tc>
          <w:tcPr>
            <w:tcW w:w="1861" w:type="dxa"/>
            <w:gridSpan w:val="2"/>
          </w:tcPr>
          <w:p w14:paraId="398484EF" w14:textId="77777777" w:rsidR="00FB40DA" w:rsidRPr="004A7E6A" w:rsidRDefault="00FB40DA" w:rsidP="0035494F">
            <w:pPr>
              <w:rPr>
                <w:color w:val="000000" w:themeColor="text1"/>
                <w:sz w:val="20"/>
                <w:szCs w:val="20"/>
              </w:rPr>
            </w:pPr>
            <w:r w:rsidRPr="004A7E6A">
              <w:rPr>
                <w:color w:val="000000" w:themeColor="text1"/>
                <w:sz w:val="20"/>
                <w:szCs w:val="20"/>
              </w:rPr>
              <w:t>Discipline Faculty</w:t>
            </w:r>
          </w:p>
          <w:p w14:paraId="7F9F74AF" w14:textId="234C6665" w:rsidR="001C619B" w:rsidRPr="004A7E6A" w:rsidRDefault="00335747" w:rsidP="0035494F">
            <w:pPr>
              <w:rPr>
                <w:color w:val="000000" w:themeColor="text1"/>
                <w:sz w:val="20"/>
                <w:szCs w:val="20"/>
              </w:rPr>
            </w:pPr>
            <w:r w:rsidRPr="004A7E6A">
              <w:rPr>
                <w:color w:val="000000" w:themeColor="text1"/>
                <w:sz w:val="20"/>
                <w:szCs w:val="20"/>
              </w:rPr>
              <w:t>DWM: Sector Navigators and DSNs</w:t>
            </w:r>
          </w:p>
          <w:p w14:paraId="572810EA" w14:textId="276590D6" w:rsidR="00335747" w:rsidRPr="004A7E6A" w:rsidRDefault="00335747" w:rsidP="0035494F">
            <w:pPr>
              <w:rPr>
                <w:color w:val="000000" w:themeColor="text1"/>
                <w:sz w:val="20"/>
                <w:szCs w:val="20"/>
              </w:rPr>
            </w:pPr>
          </w:p>
        </w:tc>
        <w:tc>
          <w:tcPr>
            <w:tcW w:w="2886" w:type="dxa"/>
          </w:tcPr>
          <w:p w14:paraId="371DC6B0" w14:textId="7579894E" w:rsidR="001C619B" w:rsidRPr="004A7E6A" w:rsidRDefault="00402E83" w:rsidP="00335747">
            <w:pPr>
              <w:rPr>
                <w:sz w:val="20"/>
                <w:szCs w:val="20"/>
              </w:rPr>
            </w:pPr>
            <w:r w:rsidRPr="004A7E6A">
              <w:rPr>
                <w:color w:val="FF0000"/>
                <w:sz w:val="20"/>
                <w:szCs w:val="20"/>
              </w:rPr>
              <w:t>ASCCC Lead</w:t>
            </w:r>
            <w:r w:rsidR="00960AEF" w:rsidRPr="004A7E6A">
              <w:rPr>
                <w:color w:val="FF0000"/>
                <w:sz w:val="20"/>
                <w:szCs w:val="20"/>
              </w:rPr>
              <w:t xml:space="preserve">; </w:t>
            </w:r>
            <w:r w:rsidR="00960AEF" w:rsidRPr="004A7E6A">
              <w:rPr>
                <w:color w:val="660066"/>
                <w:sz w:val="20"/>
                <w:szCs w:val="20"/>
              </w:rPr>
              <w:t>In progress through C-ID System</w:t>
            </w:r>
          </w:p>
        </w:tc>
      </w:tr>
      <w:tr w:rsidR="001C619B" w14:paraId="59AFE9E0" w14:textId="77777777" w:rsidTr="00414C13">
        <w:tc>
          <w:tcPr>
            <w:tcW w:w="13860" w:type="dxa"/>
            <w:gridSpan w:val="9"/>
          </w:tcPr>
          <w:p w14:paraId="437AD0FA" w14:textId="2BECA735" w:rsidR="001C619B" w:rsidRPr="00351727" w:rsidRDefault="001C619B" w:rsidP="001C619B">
            <w:pPr>
              <w:pStyle w:val="ListParagraph"/>
              <w:numPr>
                <w:ilvl w:val="0"/>
                <w:numId w:val="9"/>
              </w:numPr>
              <w:rPr>
                <w:rFonts w:ascii="Times New Roman" w:hAnsi="Times New Roman" w:cs="Times New Roman"/>
                <w:b/>
                <w:u w:val="single"/>
              </w:rPr>
            </w:pPr>
            <w:r w:rsidRPr="00351727">
              <w:rPr>
                <w:rFonts w:ascii="Times New Roman" w:hAnsi="Times New Roman" w:cs="Times New Roman"/>
              </w:rPr>
              <w:t>Support faculty in contextualizing basic skills, work readiness and technology skills into CTE programs and embedding career-related content into general education courses.</w:t>
            </w:r>
          </w:p>
        </w:tc>
      </w:tr>
      <w:tr w:rsidR="001C619B" w14:paraId="5D07D7E5" w14:textId="77777777" w:rsidTr="000D6D01">
        <w:tc>
          <w:tcPr>
            <w:tcW w:w="3330" w:type="dxa"/>
            <w:gridSpan w:val="2"/>
          </w:tcPr>
          <w:p w14:paraId="4CAC1529" w14:textId="41142856" w:rsidR="001C619B" w:rsidRPr="000D6D01" w:rsidRDefault="00633BE2" w:rsidP="00633BE2">
            <w:pPr>
              <w:rPr>
                <w:sz w:val="20"/>
                <w:szCs w:val="20"/>
              </w:rPr>
            </w:pPr>
            <w:r w:rsidRPr="000D6D01">
              <w:rPr>
                <w:sz w:val="20"/>
                <w:szCs w:val="20"/>
              </w:rPr>
              <w:t xml:space="preserve">Curriculum </w:t>
            </w:r>
          </w:p>
        </w:tc>
        <w:tc>
          <w:tcPr>
            <w:tcW w:w="2633" w:type="dxa"/>
            <w:gridSpan w:val="2"/>
          </w:tcPr>
          <w:p w14:paraId="00B4971F" w14:textId="77777777" w:rsidR="001C619B" w:rsidRPr="00053FC2" w:rsidRDefault="001C619B" w:rsidP="0035494F">
            <w:pPr>
              <w:rPr>
                <w:b/>
                <w:u w:val="single"/>
              </w:rPr>
            </w:pPr>
          </w:p>
        </w:tc>
        <w:tc>
          <w:tcPr>
            <w:tcW w:w="3150" w:type="dxa"/>
            <w:gridSpan w:val="2"/>
          </w:tcPr>
          <w:p w14:paraId="684CCC01" w14:textId="61FA8181" w:rsidR="005428FE" w:rsidRPr="00980108" w:rsidRDefault="00980108" w:rsidP="005428FE">
            <w:pPr>
              <w:widowControl w:val="0"/>
              <w:rPr>
                <w:rStyle w:val="Hyperlink"/>
                <w:sz w:val="20"/>
                <w:szCs w:val="20"/>
              </w:rPr>
            </w:pPr>
            <w:r>
              <w:rPr>
                <w:sz w:val="20"/>
                <w:szCs w:val="20"/>
              </w:rPr>
              <w:fldChar w:fldCharType="begin"/>
            </w:r>
            <w:r>
              <w:rPr>
                <w:sz w:val="20"/>
                <w:szCs w:val="20"/>
              </w:rPr>
              <w:instrText xml:space="preserve"> HYPERLINK "http://www.asccc.org/resolutions/occupational-programs-course-expansion" </w:instrText>
            </w:r>
            <w:r>
              <w:rPr>
                <w:sz w:val="20"/>
                <w:szCs w:val="20"/>
              </w:rPr>
              <w:fldChar w:fldCharType="separate"/>
            </w:r>
            <w:r w:rsidR="001C5EA8" w:rsidRPr="00980108">
              <w:rPr>
                <w:rStyle w:val="Hyperlink"/>
                <w:sz w:val="20"/>
                <w:szCs w:val="20"/>
              </w:rPr>
              <w:t xml:space="preserve">21.01 F09 </w:t>
            </w:r>
            <w:r w:rsidR="005428FE" w:rsidRPr="00980108">
              <w:rPr>
                <w:rStyle w:val="Hyperlink"/>
                <w:sz w:val="20"/>
                <w:szCs w:val="20"/>
              </w:rPr>
              <w:t>Occupational Programs Course Expansion</w:t>
            </w:r>
          </w:p>
          <w:p w14:paraId="2B162FD8" w14:textId="62B1D9D0" w:rsidR="001C619B" w:rsidRPr="00C8785A" w:rsidRDefault="00980108" w:rsidP="00C8785A">
            <w:pPr>
              <w:widowControl w:val="0"/>
              <w:rPr>
                <w:sz w:val="20"/>
                <w:szCs w:val="20"/>
              </w:rPr>
            </w:pPr>
            <w:r>
              <w:rPr>
                <w:sz w:val="20"/>
                <w:szCs w:val="20"/>
              </w:rPr>
              <w:fldChar w:fldCharType="end"/>
            </w:r>
            <w:r>
              <w:rPr>
                <w:sz w:val="20"/>
                <w:szCs w:val="20"/>
              </w:rPr>
              <w:t>E</w:t>
            </w:r>
            <w:r w:rsidR="005428FE" w:rsidRPr="001C5EA8">
              <w:rPr>
                <w:sz w:val="20"/>
                <w:szCs w:val="20"/>
              </w:rPr>
              <w:t>ncourage local career technical education faculty to work with other faculty (including mathematics, English, and ESL faculty) on ways to include SCANS competencies, basic mathematics, and English content suitable to CTE programs in an appropriate manner.</w:t>
            </w:r>
          </w:p>
        </w:tc>
        <w:tc>
          <w:tcPr>
            <w:tcW w:w="1861" w:type="dxa"/>
            <w:gridSpan w:val="2"/>
          </w:tcPr>
          <w:p w14:paraId="30D762B0" w14:textId="77777777" w:rsidR="00FB40DA" w:rsidRPr="00FB40DA" w:rsidRDefault="00FB40DA" w:rsidP="0035494F">
            <w:pPr>
              <w:rPr>
                <w:color w:val="660066"/>
                <w:sz w:val="20"/>
                <w:szCs w:val="20"/>
              </w:rPr>
            </w:pPr>
            <w:r w:rsidRPr="00FB40DA">
              <w:rPr>
                <w:color w:val="660066"/>
                <w:sz w:val="20"/>
                <w:szCs w:val="20"/>
              </w:rPr>
              <w:t>Discipline Faculty</w:t>
            </w:r>
          </w:p>
          <w:p w14:paraId="0D363210" w14:textId="02804916" w:rsidR="001C619B" w:rsidRPr="000D1EE9" w:rsidRDefault="00633BE2" w:rsidP="0035494F">
            <w:pPr>
              <w:rPr>
                <w:sz w:val="20"/>
                <w:szCs w:val="20"/>
              </w:rPr>
            </w:pPr>
            <w:r w:rsidRPr="000D1EE9">
              <w:rPr>
                <w:sz w:val="20"/>
                <w:szCs w:val="20"/>
              </w:rPr>
              <w:t xml:space="preserve">Local Senates </w:t>
            </w:r>
          </w:p>
        </w:tc>
        <w:tc>
          <w:tcPr>
            <w:tcW w:w="2886" w:type="dxa"/>
          </w:tcPr>
          <w:p w14:paraId="732B3E74" w14:textId="727F1943" w:rsidR="001C619B" w:rsidRPr="00A9445A" w:rsidRDefault="008E7D2C" w:rsidP="0035494F">
            <w:pPr>
              <w:rPr>
                <w:color w:val="660066"/>
                <w:sz w:val="20"/>
                <w:szCs w:val="20"/>
              </w:rPr>
            </w:pPr>
            <w:r w:rsidRPr="008E7D2C">
              <w:rPr>
                <w:color w:val="FF0000"/>
                <w:sz w:val="20"/>
                <w:szCs w:val="20"/>
              </w:rPr>
              <w:t>ASCCC Lead</w:t>
            </w:r>
            <w:r w:rsidR="00A9445A">
              <w:rPr>
                <w:color w:val="FF0000"/>
                <w:sz w:val="20"/>
                <w:szCs w:val="20"/>
              </w:rPr>
              <w:t xml:space="preserve">; </w:t>
            </w:r>
            <w:r w:rsidR="00A9445A" w:rsidRPr="00B179F8">
              <w:rPr>
                <w:color w:val="FF0000"/>
                <w:sz w:val="20"/>
                <w:szCs w:val="20"/>
              </w:rPr>
              <w:t>professional development activities</w:t>
            </w:r>
          </w:p>
        </w:tc>
      </w:tr>
      <w:tr w:rsidR="0035494F" w14:paraId="3BDC96E7" w14:textId="77777777" w:rsidTr="0035494F">
        <w:tc>
          <w:tcPr>
            <w:tcW w:w="13860" w:type="dxa"/>
            <w:gridSpan w:val="9"/>
            <w:shd w:val="clear" w:color="auto" w:fill="D9D9D9" w:themeFill="background1" w:themeFillShade="D9"/>
          </w:tcPr>
          <w:p w14:paraId="10F25611" w14:textId="51F1C9E3" w:rsidR="0035494F" w:rsidRPr="00053FC2" w:rsidRDefault="0035494F" w:rsidP="0035494F">
            <w:pPr>
              <w:jc w:val="center"/>
              <w:rPr>
                <w:b/>
                <w:u w:val="single"/>
              </w:rPr>
            </w:pPr>
            <w:r>
              <w:rPr>
                <w:b/>
              </w:rPr>
              <w:t>CAREER PATHWAYS</w:t>
            </w:r>
          </w:p>
        </w:tc>
      </w:tr>
      <w:tr w:rsidR="0035494F" w14:paraId="4C01E526" w14:textId="77777777" w:rsidTr="00414C13">
        <w:tc>
          <w:tcPr>
            <w:tcW w:w="13860" w:type="dxa"/>
            <w:gridSpan w:val="9"/>
          </w:tcPr>
          <w:p w14:paraId="1895F5C2" w14:textId="77777777" w:rsidR="0035494F" w:rsidRPr="00351727" w:rsidRDefault="0035494F" w:rsidP="0035494F">
            <w:pPr>
              <w:pStyle w:val="ListParagraph"/>
              <w:numPr>
                <w:ilvl w:val="0"/>
                <w:numId w:val="3"/>
              </w:numPr>
              <w:rPr>
                <w:rFonts w:ascii="Times New Roman" w:hAnsi="Times New Roman" w:cs="Times New Roman"/>
                <w:b/>
                <w:u w:val="single"/>
              </w:rPr>
            </w:pPr>
            <w:r w:rsidRPr="00351727">
              <w:rPr>
                <w:rFonts w:ascii="Times New Roman" w:hAnsi="Times New Roman" w:cs="Times New Roman"/>
                <w:b/>
              </w:rPr>
              <w:t xml:space="preserve">Develop and broadly publicize industry-informed career pathways that prepare students for jobs needed within the regional labor market. </w:t>
            </w:r>
          </w:p>
        </w:tc>
      </w:tr>
      <w:tr w:rsidR="001C619B" w14:paraId="20009864" w14:textId="77777777" w:rsidTr="00414C13">
        <w:tc>
          <w:tcPr>
            <w:tcW w:w="13860" w:type="dxa"/>
            <w:gridSpan w:val="9"/>
          </w:tcPr>
          <w:p w14:paraId="7FC0BC31" w14:textId="77777777" w:rsidR="001C619B" w:rsidRPr="00351727" w:rsidRDefault="001C619B" w:rsidP="001C619B">
            <w:pPr>
              <w:pStyle w:val="ListParagraph"/>
              <w:numPr>
                <w:ilvl w:val="0"/>
                <w:numId w:val="10"/>
              </w:numPr>
              <w:rPr>
                <w:rFonts w:ascii="Times New Roman" w:hAnsi="Times New Roman" w:cs="Times New Roman"/>
                <w:b/>
                <w:u w:val="single"/>
              </w:rPr>
            </w:pPr>
            <w:r w:rsidRPr="00351727">
              <w:rPr>
                <w:rFonts w:ascii="Times New Roman" w:hAnsi="Times New Roman" w:cs="Times New Roman"/>
              </w:rPr>
              <w:t>Support faculty and colleges to design pathways with multiple entry and exit points that correspond to industry-recognized credentials.</w:t>
            </w:r>
          </w:p>
        </w:tc>
      </w:tr>
      <w:tr w:rsidR="0035494F" w14:paraId="4C188467" w14:textId="77777777" w:rsidTr="000D6D01">
        <w:tc>
          <w:tcPr>
            <w:tcW w:w="3330" w:type="dxa"/>
            <w:gridSpan w:val="2"/>
          </w:tcPr>
          <w:p w14:paraId="7921364F" w14:textId="44EB5FF6" w:rsidR="00A9445A" w:rsidRPr="000D6D01" w:rsidRDefault="00A9445A" w:rsidP="00C32AEB">
            <w:pPr>
              <w:pStyle w:val="ListParagraph"/>
              <w:numPr>
                <w:ilvl w:val="0"/>
                <w:numId w:val="36"/>
              </w:numPr>
              <w:spacing w:line="240" w:lineRule="auto"/>
              <w:ind w:left="360"/>
              <w:rPr>
                <w:rFonts w:ascii="Times New Roman" w:hAnsi="Times New Roman" w:cs="Times New Roman"/>
                <w:color w:val="000000" w:themeColor="text1"/>
                <w:sz w:val="20"/>
                <w:szCs w:val="20"/>
              </w:rPr>
            </w:pPr>
            <w:r w:rsidRPr="000D6D01">
              <w:rPr>
                <w:rFonts w:ascii="Times New Roman" w:hAnsi="Times New Roman" w:cs="Times New Roman"/>
                <w:color w:val="000000" w:themeColor="text1"/>
                <w:sz w:val="20"/>
                <w:szCs w:val="20"/>
              </w:rPr>
              <w:t>Curriculum</w:t>
            </w:r>
          </w:p>
          <w:p w14:paraId="51E30014" w14:textId="1C585B81" w:rsidR="00A9445A" w:rsidRPr="000D6D01" w:rsidRDefault="00A9445A" w:rsidP="00C32AEB">
            <w:pPr>
              <w:pStyle w:val="ListParagraph"/>
              <w:numPr>
                <w:ilvl w:val="0"/>
                <w:numId w:val="36"/>
              </w:numPr>
              <w:spacing w:line="240" w:lineRule="auto"/>
              <w:ind w:left="360"/>
              <w:rPr>
                <w:color w:val="000000" w:themeColor="text1"/>
              </w:rPr>
            </w:pPr>
            <w:r w:rsidRPr="000D6D01">
              <w:rPr>
                <w:rFonts w:ascii="Times New Roman" w:hAnsi="Times New Roman" w:cs="Times New Roman"/>
                <w:color w:val="000000" w:themeColor="text1"/>
                <w:sz w:val="20"/>
                <w:szCs w:val="20"/>
              </w:rPr>
              <w:t>Educational program development</w:t>
            </w:r>
          </w:p>
        </w:tc>
        <w:tc>
          <w:tcPr>
            <w:tcW w:w="2633" w:type="dxa"/>
            <w:gridSpan w:val="2"/>
          </w:tcPr>
          <w:p w14:paraId="0C86F19C" w14:textId="77777777" w:rsidR="0035494F" w:rsidRPr="00053FC2" w:rsidRDefault="0035494F" w:rsidP="0035494F">
            <w:pPr>
              <w:rPr>
                <w:b/>
                <w:u w:val="single"/>
              </w:rPr>
            </w:pPr>
          </w:p>
        </w:tc>
        <w:tc>
          <w:tcPr>
            <w:tcW w:w="3150" w:type="dxa"/>
            <w:gridSpan w:val="2"/>
          </w:tcPr>
          <w:p w14:paraId="3C7950F5" w14:textId="77777777" w:rsidR="002255A8" w:rsidRDefault="002255A8" w:rsidP="002255A8">
            <w:pPr>
              <w:rPr>
                <w:sz w:val="20"/>
                <w:szCs w:val="20"/>
              </w:rPr>
            </w:pPr>
          </w:p>
          <w:p w14:paraId="2FEFA831" w14:textId="3A47B982" w:rsidR="002255A8" w:rsidRPr="002255A8" w:rsidRDefault="002255A8" w:rsidP="002255A8">
            <w:pPr>
              <w:rPr>
                <w:sz w:val="20"/>
                <w:szCs w:val="20"/>
              </w:rPr>
            </w:pPr>
          </w:p>
        </w:tc>
        <w:tc>
          <w:tcPr>
            <w:tcW w:w="1861" w:type="dxa"/>
            <w:gridSpan w:val="2"/>
          </w:tcPr>
          <w:p w14:paraId="18143453" w14:textId="77777777" w:rsidR="0035494F" w:rsidRPr="00053FC2" w:rsidRDefault="0035494F" w:rsidP="0035494F">
            <w:pPr>
              <w:rPr>
                <w:b/>
                <w:u w:val="single"/>
              </w:rPr>
            </w:pPr>
          </w:p>
        </w:tc>
        <w:tc>
          <w:tcPr>
            <w:tcW w:w="2886" w:type="dxa"/>
          </w:tcPr>
          <w:p w14:paraId="5A28036E" w14:textId="59E50D42" w:rsidR="0035494F" w:rsidRPr="00A9445A" w:rsidRDefault="002255A8" w:rsidP="002255A8">
            <w:pPr>
              <w:rPr>
                <w:color w:val="660066"/>
                <w:sz w:val="20"/>
                <w:szCs w:val="20"/>
              </w:rPr>
            </w:pPr>
            <w:r w:rsidRPr="002255A8">
              <w:rPr>
                <w:color w:val="FF0000"/>
                <w:sz w:val="20"/>
                <w:szCs w:val="20"/>
              </w:rPr>
              <w:t xml:space="preserve">ASCCC </w:t>
            </w:r>
            <w:r>
              <w:rPr>
                <w:color w:val="FF0000"/>
                <w:sz w:val="20"/>
                <w:szCs w:val="20"/>
              </w:rPr>
              <w:t>Advisory role</w:t>
            </w:r>
            <w:r w:rsidR="00A9445A">
              <w:rPr>
                <w:color w:val="FF0000"/>
                <w:sz w:val="20"/>
                <w:szCs w:val="20"/>
              </w:rPr>
              <w:t xml:space="preserve">; </w:t>
            </w:r>
            <w:r w:rsidR="005976FE">
              <w:rPr>
                <w:color w:val="FF0000"/>
                <w:sz w:val="20"/>
                <w:szCs w:val="20"/>
              </w:rPr>
              <w:t>l</w:t>
            </w:r>
            <w:r w:rsidR="00A9445A" w:rsidRPr="00B179F8">
              <w:rPr>
                <w:color w:val="FF0000"/>
                <w:sz w:val="20"/>
                <w:szCs w:val="20"/>
              </w:rPr>
              <w:t>ead role with professional development activities</w:t>
            </w:r>
            <w:r w:rsidR="00B179F8">
              <w:rPr>
                <w:color w:val="000000" w:themeColor="text1"/>
                <w:sz w:val="20"/>
                <w:szCs w:val="20"/>
              </w:rPr>
              <w:t>.</w:t>
            </w:r>
          </w:p>
        </w:tc>
      </w:tr>
      <w:tr w:rsidR="001C619B" w14:paraId="7BEC9E63" w14:textId="77777777" w:rsidTr="00414C13">
        <w:tc>
          <w:tcPr>
            <w:tcW w:w="13860" w:type="dxa"/>
            <w:gridSpan w:val="9"/>
          </w:tcPr>
          <w:p w14:paraId="639C3D68" w14:textId="7C634199" w:rsidR="001C619B" w:rsidRPr="00351727" w:rsidRDefault="001C619B" w:rsidP="004666CC">
            <w:pPr>
              <w:pStyle w:val="ListParagraph"/>
              <w:numPr>
                <w:ilvl w:val="0"/>
                <w:numId w:val="10"/>
              </w:numPr>
              <w:rPr>
                <w:rFonts w:ascii="Times New Roman" w:hAnsi="Times New Roman" w:cs="Times New Roman"/>
                <w:b/>
                <w:u w:val="single"/>
              </w:rPr>
            </w:pPr>
            <w:r w:rsidRPr="00351727">
              <w:rPr>
                <w:rFonts w:ascii="Times New Roman" w:hAnsi="Times New Roman" w:cs="Times New Roman"/>
              </w:rPr>
              <w:t>Develop state-aligned or regionally-aligned strategies and structured industry informed pathways, coordinated with faculty and other workforce partners and industry intermediaries that seamlessly transition high school and adult students to community college programs of study.</w:t>
            </w:r>
          </w:p>
        </w:tc>
      </w:tr>
      <w:tr w:rsidR="001C619B" w14:paraId="68F596D0" w14:textId="77777777" w:rsidTr="000D6D01">
        <w:tc>
          <w:tcPr>
            <w:tcW w:w="3330" w:type="dxa"/>
            <w:gridSpan w:val="2"/>
          </w:tcPr>
          <w:p w14:paraId="2036C3D7" w14:textId="77777777" w:rsidR="000D6D01" w:rsidRPr="000D6D01" w:rsidRDefault="000D6D01" w:rsidP="00C32AEB">
            <w:pPr>
              <w:pStyle w:val="ListParagraph"/>
              <w:numPr>
                <w:ilvl w:val="0"/>
                <w:numId w:val="36"/>
              </w:numPr>
              <w:spacing w:line="240" w:lineRule="auto"/>
              <w:ind w:left="360"/>
              <w:rPr>
                <w:rFonts w:ascii="Times New Roman" w:hAnsi="Times New Roman" w:cs="Times New Roman"/>
                <w:color w:val="000000" w:themeColor="text1"/>
                <w:sz w:val="20"/>
                <w:szCs w:val="20"/>
              </w:rPr>
            </w:pPr>
            <w:r w:rsidRPr="000D6D01">
              <w:rPr>
                <w:rFonts w:ascii="Times New Roman" w:hAnsi="Times New Roman" w:cs="Times New Roman"/>
                <w:color w:val="000000" w:themeColor="text1"/>
                <w:sz w:val="20"/>
                <w:szCs w:val="20"/>
              </w:rPr>
              <w:t>Curriculum</w:t>
            </w:r>
          </w:p>
          <w:p w14:paraId="3F85337A" w14:textId="5F0CB49B" w:rsidR="001C619B" w:rsidRPr="000D6D01" w:rsidRDefault="000D6D01" w:rsidP="00C32AEB">
            <w:pPr>
              <w:pStyle w:val="ListParagraph"/>
              <w:numPr>
                <w:ilvl w:val="0"/>
                <w:numId w:val="36"/>
              </w:numPr>
              <w:spacing w:line="240" w:lineRule="auto"/>
              <w:ind w:left="360"/>
              <w:rPr>
                <w:color w:val="000000" w:themeColor="text1"/>
                <w:sz w:val="20"/>
                <w:szCs w:val="20"/>
              </w:rPr>
            </w:pPr>
            <w:r w:rsidRPr="000D6D01">
              <w:rPr>
                <w:rFonts w:ascii="Times New Roman" w:hAnsi="Times New Roman" w:cs="Times New Roman"/>
                <w:color w:val="000000" w:themeColor="text1"/>
                <w:sz w:val="20"/>
                <w:szCs w:val="20"/>
              </w:rPr>
              <w:t>Educational program development</w:t>
            </w:r>
            <w:r w:rsidRPr="000D6D01">
              <w:rPr>
                <w:color w:val="000000" w:themeColor="text1"/>
                <w:sz w:val="20"/>
                <w:szCs w:val="20"/>
              </w:rPr>
              <w:t xml:space="preserve"> </w:t>
            </w:r>
          </w:p>
        </w:tc>
        <w:tc>
          <w:tcPr>
            <w:tcW w:w="2633" w:type="dxa"/>
            <w:gridSpan w:val="2"/>
          </w:tcPr>
          <w:p w14:paraId="74149E5E" w14:textId="2E61C0C8" w:rsidR="001C619B" w:rsidRPr="004A7E6A" w:rsidRDefault="00A9445A" w:rsidP="0035494F">
            <w:pPr>
              <w:rPr>
                <w:color w:val="000000" w:themeColor="text1"/>
                <w:sz w:val="20"/>
                <w:szCs w:val="20"/>
              </w:rPr>
            </w:pPr>
            <w:r w:rsidRPr="004A7E6A">
              <w:rPr>
                <w:color w:val="000000" w:themeColor="text1"/>
                <w:sz w:val="20"/>
                <w:szCs w:val="20"/>
              </w:rPr>
              <w:t>Policy direction on determining process for high school faculty input</w:t>
            </w:r>
          </w:p>
        </w:tc>
        <w:tc>
          <w:tcPr>
            <w:tcW w:w="3150" w:type="dxa"/>
            <w:gridSpan w:val="2"/>
          </w:tcPr>
          <w:p w14:paraId="22B1745B" w14:textId="5B5436A6" w:rsidR="001C730A" w:rsidRPr="00633BE2" w:rsidRDefault="00633BE2" w:rsidP="001C730A">
            <w:pPr>
              <w:pStyle w:val="NormalWeb"/>
              <w:spacing w:before="0" w:beforeAutospacing="0" w:after="240" w:afterAutospacing="0"/>
              <w:rPr>
                <w:rStyle w:val="Hyperlink"/>
                <w:sz w:val="20"/>
                <w:szCs w:val="20"/>
              </w:rPr>
            </w:pPr>
            <w:r w:rsidRPr="00633BE2">
              <w:rPr>
                <w:color w:val="574C45"/>
                <w:sz w:val="20"/>
                <w:szCs w:val="20"/>
              </w:rPr>
              <w:fldChar w:fldCharType="begin"/>
            </w:r>
            <w:r w:rsidRPr="00633BE2">
              <w:rPr>
                <w:color w:val="574C45"/>
                <w:sz w:val="20"/>
                <w:szCs w:val="20"/>
              </w:rPr>
              <w:instrText xml:space="preserve"> HYPERLINK "http://www.asccc.org/resolutions/support-local-development-curricular-pathways" </w:instrText>
            </w:r>
            <w:r w:rsidRPr="00633BE2">
              <w:rPr>
                <w:color w:val="574C45"/>
                <w:sz w:val="20"/>
                <w:szCs w:val="20"/>
              </w:rPr>
              <w:fldChar w:fldCharType="separate"/>
            </w:r>
            <w:r w:rsidR="001C730A" w:rsidRPr="00633BE2">
              <w:rPr>
                <w:rStyle w:val="Hyperlink"/>
                <w:sz w:val="20"/>
                <w:szCs w:val="20"/>
              </w:rPr>
              <w:t>9.12 F15 Support Local Development of Curricular Pathways</w:t>
            </w:r>
          </w:p>
          <w:p w14:paraId="560C6E30" w14:textId="3A47E46A" w:rsidR="001C619B" w:rsidRPr="00006718" w:rsidRDefault="00633BE2" w:rsidP="00006718">
            <w:pPr>
              <w:pStyle w:val="NormalWeb"/>
              <w:spacing w:before="0" w:beforeAutospacing="0" w:after="240" w:afterAutospacing="0"/>
              <w:rPr>
                <w:color w:val="574C45"/>
                <w:sz w:val="20"/>
                <w:szCs w:val="20"/>
              </w:rPr>
            </w:pPr>
            <w:r w:rsidRPr="00633BE2">
              <w:rPr>
                <w:color w:val="574C45"/>
                <w:sz w:val="20"/>
                <w:szCs w:val="20"/>
              </w:rPr>
              <w:fldChar w:fldCharType="end"/>
            </w:r>
            <w:r w:rsidRPr="00633BE2">
              <w:rPr>
                <w:color w:val="574C45"/>
                <w:sz w:val="20"/>
                <w:szCs w:val="20"/>
              </w:rPr>
              <w:t>O</w:t>
            </w:r>
            <w:r w:rsidR="001C730A" w:rsidRPr="00633BE2">
              <w:rPr>
                <w:color w:val="574C45"/>
                <w:sz w:val="20"/>
                <w:szCs w:val="20"/>
              </w:rPr>
              <w:t>ppose the intrusion of pathways programs by external organizations that circumvent or undermine faculty purview; and</w:t>
            </w:r>
            <w:r w:rsidRPr="00633BE2">
              <w:rPr>
                <w:color w:val="574C45"/>
                <w:sz w:val="20"/>
                <w:szCs w:val="20"/>
              </w:rPr>
              <w:t xml:space="preserve"> u</w:t>
            </w:r>
            <w:r w:rsidR="001C730A" w:rsidRPr="00633BE2">
              <w:rPr>
                <w:color w:val="574C45"/>
                <w:sz w:val="20"/>
                <w:szCs w:val="20"/>
              </w:rPr>
              <w:t>rge local academic senates and colleges to create formal processes and policies that require the local academic senate, in consultation with its curriculum committee, to evaluate and endorse any proposed curricular pathways offered by an external organization before such a program is institutionalized.</w:t>
            </w:r>
          </w:p>
        </w:tc>
        <w:tc>
          <w:tcPr>
            <w:tcW w:w="1861" w:type="dxa"/>
            <w:gridSpan w:val="2"/>
          </w:tcPr>
          <w:p w14:paraId="49BD46DF" w14:textId="1057A901" w:rsidR="00A9445A" w:rsidRPr="004A7E6A" w:rsidRDefault="00A9445A" w:rsidP="0035494F">
            <w:pPr>
              <w:rPr>
                <w:color w:val="000000" w:themeColor="text1"/>
                <w:sz w:val="20"/>
                <w:szCs w:val="20"/>
              </w:rPr>
            </w:pPr>
            <w:r w:rsidRPr="004A7E6A">
              <w:rPr>
                <w:color w:val="000000" w:themeColor="text1"/>
                <w:sz w:val="20"/>
                <w:szCs w:val="20"/>
              </w:rPr>
              <w:t>Workforce and industry partners</w:t>
            </w:r>
            <w:r w:rsidR="000D6D01">
              <w:rPr>
                <w:color w:val="000000" w:themeColor="text1"/>
                <w:sz w:val="20"/>
                <w:szCs w:val="20"/>
              </w:rPr>
              <w:t xml:space="preserve">, </w:t>
            </w:r>
          </w:p>
          <w:p w14:paraId="65EEFEC1" w14:textId="7C4D1CC3" w:rsidR="00A9445A" w:rsidRPr="004A7E6A" w:rsidRDefault="004C4D00" w:rsidP="0035494F">
            <w:pPr>
              <w:rPr>
                <w:color w:val="000000" w:themeColor="text1"/>
                <w:sz w:val="20"/>
                <w:szCs w:val="20"/>
              </w:rPr>
            </w:pPr>
            <w:r w:rsidRPr="004A7E6A">
              <w:rPr>
                <w:color w:val="000000" w:themeColor="text1"/>
                <w:sz w:val="20"/>
                <w:szCs w:val="20"/>
              </w:rPr>
              <w:t xml:space="preserve">Discipline </w:t>
            </w:r>
            <w:r w:rsidR="00A9445A" w:rsidRPr="004A7E6A">
              <w:rPr>
                <w:color w:val="000000" w:themeColor="text1"/>
                <w:sz w:val="20"/>
                <w:szCs w:val="20"/>
              </w:rPr>
              <w:t>faculty workgroups</w:t>
            </w:r>
            <w:r w:rsidR="000D6D01">
              <w:rPr>
                <w:color w:val="000000" w:themeColor="text1"/>
                <w:sz w:val="20"/>
                <w:szCs w:val="20"/>
              </w:rPr>
              <w:t>,</w:t>
            </w:r>
          </w:p>
          <w:p w14:paraId="35EC12F6" w14:textId="1CB03158" w:rsidR="00A9445A" w:rsidRPr="00A9445A" w:rsidRDefault="00A9445A" w:rsidP="0035494F">
            <w:pPr>
              <w:rPr>
                <w:b/>
                <w:color w:val="660066"/>
                <w:u w:val="single"/>
              </w:rPr>
            </w:pPr>
            <w:r w:rsidRPr="004A7E6A">
              <w:rPr>
                <w:color w:val="000000" w:themeColor="text1"/>
                <w:sz w:val="20"/>
                <w:szCs w:val="20"/>
              </w:rPr>
              <w:t>High school faculty</w:t>
            </w:r>
          </w:p>
        </w:tc>
        <w:tc>
          <w:tcPr>
            <w:tcW w:w="2886" w:type="dxa"/>
          </w:tcPr>
          <w:p w14:paraId="3CA033F2" w14:textId="6EA617FB" w:rsidR="001C619B" w:rsidRPr="0011644F" w:rsidRDefault="0011644F" w:rsidP="0035494F">
            <w:pPr>
              <w:rPr>
                <w:sz w:val="20"/>
                <w:szCs w:val="20"/>
              </w:rPr>
            </w:pPr>
            <w:r w:rsidRPr="0011644F">
              <w:rPr>
                <w:color w:val="FF0000"/>
                <w:sz w:val="20"/>
                <w:szCs w:val="20"/>
              </w:rPr>
              <w:t>ASCCC Lead (with C-ID)</w:t>
            </w:r>
          </w:p>
        </w:tc>
      </w:tr>
      <w:tr w:rsidR="001C619B" w14:paraId="2B2B75BF" w14:textId="77777777" w:rsidTr="00414C13">
        <w:tc>
          <w:tcPr>
            <w:tcW w:w="13860" w:type="dxa"/>
            <w:gridSpan w:val="9"/>
          </w:tcPr>
          <w:p w14:paraId="30A7A9D7" w14:textId="4DF84D60" w:rsidR="001C619B" w:rsidRPr="00351727" w:rsidRDefault="001C619B" w:rsidP="001C619B">
            <w:pPr>
              <w:pStyle w:val="ListParagraph"/>
              <w:numPr>
                <w:ilvl w:val="0"/>
                <w:numId w:val="10"/>
              </w:numPr>
              <w:rPr>
                <w:rFonts w:ascii="Times New Roman" w:hAnsi="Times New Roman" w:cs="Times New Roman"/>
                <w:b/>
                <w:u w:val="single"/>
              </w:rPr>
            </w:pPr>
            <w:r w:rsidRPr="00351727">
              <w:rPr>
                <w:rFonts w:ascii="Times New Roman" w:hAnsi="Times New Roman" w:cs="Times New Roman"/>
              </w:rPr>
              <w:t>Ensure career pathways meet the needs of displaced workers, veterans, English language learners and other adult populations.</w:t>
            </w:r>
          </w:p>
        </w:tc>
      </w:tr>
      <w:tr w:rsidR="001C619B" w14:paraId="2624438F" w14:textId="77777777" w:rsidTr="000D6D01">
        <w:tc>
          <w:tcPr>
            <w:tcW w:w="3330" w:type="dxa"/>
            <w:gridSpan w:val="2"/>
          </w:tcPr>
          <w:p w14:paraId="291EAF8E" w14:textId="77777777" w:rsidR="00C32AEB" w:rsidRPr="00C32AEB" w:rsidRDefault="00C32AEB" w:rsidP="00C32AEB">
            <w:pPr>
              <w:pStyle w:val="ListParagraph"/>
              <w:numPr>
                <w:ilvl w:val="0"/>
                <w:numId w:val="36"/>
              </w:numPr>
              <w:spacing w:line="240" w:lineRule="auto"/>
              <w:ind w:left="360"/>
              <w:rPr>
                <w:rFonts w:ascii="Times New Roman" w:hAnsi="Times New Roman" w:cs="Times New Roman"/>
                <w:color w:val="000000" w:themeColor="text1"/>
                <w:sz w:val="20"/>
                <w:szCs w:val="20"/>
              </w:rPr>
            </w:pPr>
            <w:r w:rsidRPr="00C32AEB">
              <w:rPr>
                <w:rFonts w:ascii="Times New Roman" w:hAnsi="Times New Roman" w:cs="Times New Roman"/>
                <w:color w:val="000000" w:themeColor="text1"/>
                <w:sz w:val="20"/>
                <w:szCs w:val="20"/>
              </w:rPr>
              <w:t>Curriculum</w:t>
            </w:r>
          </w:p>
          <w:p w14:paraId="3D50F5A8" w14:textId="05849FF0" w:rsidR="001C619B" w:rsidRPr="00C32AEB" w:rsidRDefault="00C32AEB" w:rsidP="00C32AEB">
            <w:pPr>
              <w:pStyle w:val="ListParagraph"/>
              <w:numPr>
                <w:ilvl w:val="0"/>
                <w:numId w:val="36"/>
              </w:numPr>
              <w:spacing w:line="240" w:lineRule="auto"/>
              <w:ind w:left="360"/>
              <w:rPr>
                <w:b/>
                <w:u w:val="single"/>
              </w:rPr>
            </w:pPr>
            <w:r w:rsidRPr="00C32AEB">
              <w:rPr>
                <w:rFonts w:ascii="Times New Roman" w:hAnsi="Times New Roman" w:cs="Times New Roman"/>
                <w:color w:val="000000" w:themeColor="text1"/>
                <w:sz w:val="20"/>
                <w:szCs w:val="20"/>
              </w:rPr>
              <w:t>Educational program development</w:t>
            </w:r>
            <w:r w:rsidRPr="00C32AEB">
              <w:rPr>
                <w:b/>
                <w:u w:val="single"/>
              </w:rPr>
              <w:t xml:space="preserve"> </w:t>
            </w:r>
          </w:p>
        </w:tc>
        <w:tc>
          <w:tcPr>
            <w:tcW w:w="2633" w:type="dxa"/>
            <w:gridSpan w:val="2"/>
          </w:tcPr>
          <w:p w14:paraId="65ECFCA1" w14:textId="77777777" w:rsidR="001C619B" w:rsidRPr="00053FC2" w:rsidRDefault="001C619B" w:rsidP="0035494F">
            <w:pPr>
              <w:rPr>
                <w:b/>
                <w:u w:val="single"/>
              </w:rPr>
            </w:pPr>
          </w:p>
        </w:tc>
        <w:tc>
          <w:tcPr>
            <w:tcW w:w="3150" w:type="dxa"/>
            <w:gridSpan w:val="2"/>
          </w:tcPr>
          <w:p w14:paraId="3A49ABAD" w14:textId="77777777" w:rsidR="00006718" w:rsidRPr="002255A8" w:rsidRDefault="00006718" w:rsidP="0035494F">
            <w:pPr>
              <w:rPr>
                <w:sz w:val="20"/>
                <w:szCs w:val="20"/>
              </w:rPr>
            </w:pPr>
          </w:p>
          <w:p w14:paraId="4FA49B15" w14:textId="77777777" w:rsidR="00006718" w:rsidRPr="00053FC2" w:rsidRDefault="00006718" w:rsidP="0035494F">
            <w:pPr>
              <w:rPr>
                <w:b/>
                <w:u w:val="single"/>
              </w:rPr>
            </w:pPr>
          </w:p>
        </w:tc>
        <w:tc>
          <w:tcPr>
            <w:tcW w:w="1861" w:type="dxa"/>
            <w:gridSpan w:val="2"/>
          </w:tcPr>
          <w:p w14:paraId="78DE525C" w14:textId="77777777" w:rsidR="001C619B" w:rsidRPr="00053FC2" w:rsidRDefault="001C619B" w:rsidP="0035494F">
            <w:pPr>
              <w:rPr>
                <w:b/>
                <w:u w:val="single"/>
              </w:rPr>
            </w:pPr>
          </w:p>
        </w:tc>
        <w:tc>
          <w:tcPr>
            <w:tcW w:w="2886" w:type="dxa"/>
          </w:tcPr>
          <w:p w14:paraId="040A9C8B" w14:textId="06D88BD6" w:rsidR="001C619B" w:rsidRPr="002255A8" w:rsidRDefault="002255A8" w:rsidP="0035494F">
            <w:pPr>
              <w:rPr>
                <w:sz w:val="20"/>
                <w:szCs w:val="20"/>
              </w:rPr>
            </w:pPr>
            <w:r w:rsidRPr="002255A8">
              <w:rPr>
                <w:color w:val="FF0000"/>
                <w:sz w:val="20"/>
                <w:szCs w:val="20"/>
              </w:rPr>
              <w:t>ASCCC Advisory role</w:t>
            </w:r>
          </w:p>
        </w:tc>
      </w:tr>
      <w:tr w:rsidR="001C619B" w14:paraId="3F9D39A3" w14:textId="77777777" w:rsidTr="00414C13">
        <w:tc>
          <w:tcPr>
            <w:tcW w:w="13860" w:type="dxa"/>
            <w:gridSpan w:val="9"/>
          </w:tcPr>
          <w:p w14:paraId="58408E3A" w14:textId="77777777" w:rsidR="001C619B" w:rsidRPr="00351727" w:rsidRDefault="001C619B" w:rsidP="001C619B">
            <w:pPr>
              <w:pStyle w:val="ListParagraph"/>
              <w:numPr>
                <w:ilvl w:val="0"/>
                <w:numId w:val="10"/>
              </w:numPr>
              <w:rPr>
                <w:rFonts w:ascii="Times New Roman" w:hAnsi="Times New Roman" w:cs="Times New Roman"/>
                <w:b/>
                <w:u w:val="single"/>
              </w:rPr>
            </w:pPr>
            <w:r w:rsidRPr="00351727">
              <w:rPr>
                <w:rFonts w:ascii="Times New Roman" w:hAnsi="Times New Roman" w:cs="Times New Roman"/>
              </w:rPr>
              <w:t>Support faculty to develop and align model CTE curricula that facilitate articulation, dual enrollment and CTE pathways.</w:t>
            </w:r>
          </w:p>
        </w:tc>
      </w:tr>
      <w:tr w:rsidR="001C619B" w14:paraId="7AB541F8" w14:textId="77777777" w:rsidTr="000D6D01">
        <w:tc>
          <w:tcPr>
            <w:tcW w:w="3330" w:type="dxa"/>
            <w:gridSpan w:val="2"/>
          </w:tcPr>
          <w:p w14:paraId="3BAE7D90" w14:textId="77777777" w:rsidR="00C32AEB" w:rsidRPr="00C32AEB" w:rsidRDefault="00C32AEB" w:rsidP="00C32AEB">
            <w:pPr>
              <w:pStyle w:val="ListParagraph"/>
              <w:numPr>
                <w:ilvl w:val="0"/>
                <w:numId w:val="36"/>
              </w:numPr>
              <w:spacing w:line="240" w:lineRule="auto"/>
              <w:ind w:left="360"/>
              <w:rPr>
                <w:rFonts w:ascii="Times New Roman" w:hAnsi="Times New Roman" w:cs="Times New Roman"/>
                <w:color w:val="000000" w:themeColor="text1"/>
                <w:sz w:val="20"/>
                <w:szCs w:val="20"/>
              </w:rPr>
            </w:pPr>
            <w:r w:rsidRPr="00C32AEB">
              <w:rPr>
                <w:rFonts w:ascii="Times New Roman" w:hAnsi="Times New Roman" w:cs="Times New Roman"/>
                <w:color w:val="000000" w:themeColor="text1"/>
                <w:sz w:val="20"/>
                <w:szCs w:val="20"/>
              </w:rPr>
              <w:t>Curriculum</w:t>
            </w:r>
          </w:p>
          <w:p w14:paraId="68EBD540" w14:textId="3013C8C4" w:rsidR="00A9445A" w:rsidRPr="00C32AEB" w:rsidRDefault="00A9445A" w:rsidP="00C32AEB">
            <w:pPr>
              <w:pStyle w:val="ListParagraph"/>
              <w:numPr>
                <w:ilvl w:val="0"/>
                <w:numId w:val="36"/>
              </w:numPr>
              <w:spacing w:line="240" w:lineRule="auto"/>
              <w:ind w:left="360"/>
              <w:rPr>
                <w:rFonts w:ascii="Times New Roman" w:hAnsi="Times New Roman" w:cs="Times New Roman"/>
                <w:color w:val="000000" w:themeColor="text1"/>
                <w:sz w:val="20"/>
                <w:szCs w:val="20"/>
              </w:rPr>
            </w:pPr>
            <w:r w:rsidRPr="00C32AEB">
              <w:rPr>
                <w:rFonts w:ascii="Times New Roman" w:hAnsi="Times New Roman" w:cs="Times New Roman"/>
                <w:color w:val="000000" w:themeColor="text1"/>
                <w:sz w:val="20"/>
                <w:szCs w:val="20"/>
              </w:rPr>
              <w:t>Educational program development</w:t>
            </w:r>
          </w:p>
          <w:p w14:paraId="0DB8F1A4" w14:textId="77777777" w:rsidR="001C619B" w:rsidRPr="00053FC2" w:rsidRDefault="001C619B" w:rsidP="0035494F">
            <w:pPr>
              <w:rPr>
                <w:b/>
                <w:u w:val="single"/>
              </w:rPr>
            </w:pPr>
          </w:p>
        </w:tc>
        <w:tc>
          <w:tcPr>
            <w:tcW w:w="2633" w:type="dxa"/>
            <w:gridSpan w:val="2"/>
          </w:tcPr>
          <w:p w14:paraId="0B1AE8BD" w14:textId="77777777" w:rsidR="001C619B" w:rsidRPr="00053FC2" w:rsidRDefault="001C619B" w:rsidP="0035494F">
            <w:pPr>
              <w:rPr>
                <w:b/>
                <w:u w:val="single"/>
              </w:rPr>
            </w:pPr>
          </w:p>
        </w:tc>
        <w:tc>
          <w:tcPr>
            <w:tcW w:w="3150" w:type="dxa"/>
            <w:gridSpan w:val="2"/>
          </w:tcPr>
          <w:p w14:paraId="1D62B823" w14:textId="5CDA1CD4" w:rsidR="00A8580F" w:rsidRPr="00006718" w:rsidRDefault="00A8580F" w:rsidP="00A8580F">
            <w:pPr>
              <w:rPr>
                <w:rStyle w:val="Hyperlink"/>
                <w:rFonts w:eastAsia="Times New Roman"/>
                <w:sz w:val="20"/>
                <w:szCs w:val="20"/>
              </w:rPr>
            </w:pPr>
            <w:r w:rsidRPr="00006718">
              <w:rPr>
                <w:rFonts w:eastAsia="Times New Roman"/>
                <w:color w:val="574C45"/>
                <w:sz w:val="20"/>
                <w:szCs w:val="20"/>
              </w:rPr>
              <w:fldChar w:fldCharType="begin"/>
            </w:r>
            <w:r w:rsidRPr="00006718">
              <w:rPr>
                <w:rFonts w:eastAsia="Times New Roman"/>
                <w:color w:val="574C45"/>
                <w:sz w:val="20"/>
                <w:szCs w:val="20"/>
              </w:rPr>
              <w:instrText xml:space="preserve"> HYPERLINK "http://www.asccc.org/resolutions/support-expanding-dual-enrollment-opportunities-high-school-students" </w:instrText>
            </w:r>
            <w:r w:rsidRPr="00006718">
              <w:rPr>
                <w:rFonts w:eastAsia="Times New Roman"/>
                <w:color w:val="574C45"/>
                <w:sz w:val="20"/>
                <w:szCs w:val="20"/>
              </w:rPr>
              <w:fldChar w:fldCharType="separate"/>
            </w:r>
            <w:r w:rsidRPr="00006718">
              <w:rPr>
                <w:rStyle w:val="Hyperlink"/>
                <w:rFonts w:eastAsia="Times New Roman"/>
                <w:sz w:val="20"/>
                <w:szCs w:val="20"/>
              </w:rPr>
              <w:t xml:space="preserve">6.03 S15 Support Expanding Dual Enrollment Opportunities for High School Students </w:t>
            </w:r>
          </w:p>
          <w:p w14:paraId="6F3EE8C2" w14:textId="55FB41E8" w:rsidR="00A8580F" w:rsidRPr="00006718" w:rsidRDefault="00A8580F" w:rsidP="00A8580F">
            <w:pPr>
              <w:rPr>
                <w:rFonts w:eastAsia="Times New Roman"/>
                <w:color w:val="574C45"/>
                <w:sz w:val="20"/>
                <w:szCs w:val="20"/>
              </w:rPr>
            </w:pPr>
            <w:r w:rsidRPr="00006718">
              <w:rPr>
                <w:rFonts w:eastAsia="Times New Roman"/>
                <w:color w:val="574C45"/>
                <w:sz w:val="20"/>
                <w:szCs w:val="20"/>
              </w:rPr>
              <w:fldChar w:fldCharType="end"/>
            </w:r>
          </w:p>
          <w:p w14:paraId="6E891E77" w14:textId="76F0B483" w:rsidR="00A8580F" w:rsidRPr="00006718" w:rsidRDefault="00006718" w:rsidP="00A8580F">
            <w:pPr>
              <w:rPr>
                <w:rFonts w:eastAsia="Times New Roman"/>
                <w:sz w:val="20"/>
                <w:szCs w:val="20"/>
              </w:rPr>
            </w:pPr>
            <w:r>
              <w:rPr>
                <w:rFonts w:eastAsia="Times New Roman"/>
                <w:color w:val="574C45"/>
                <w:sz w:val="20"/>
                <w:szCs w:val="20"/>
              </w:rPr>
              <w:t>W</w:t>
            </w:r>
            <w:r w:rsidR="00A8580F" w:rsidRPr="00006718">
              <w:rPr>
                <w:rFonts w:eastAsia="Times New Roman"/>
                <w:color w:val="574C45"/>
                <w:sz w:val="20"/>
                <w:szCs w:val="20"/>
              </w:rPr>
              <w:t>ork with the Chancellor’s Office and other system partners to draft guidelines for the field on the implementation of dual enrollment that promote collegial consultation with local senates in the development of dual enrollment agreements, assert community college faculty primacy in all curricular matters involving dual enrollment course offerings, provide a clear system-wide interpretation of the requirements and conditions for the college and school districts to receive apportionment that includes a clear definition of the meaning “instructional activities” in the proposed new Education Code §76004(l), and promote the fulfillment of accountability requirements and incentives for both college and school districts.</w:t>
            </w:r>
          </w:p>
          <w:p w14:paraId="225F4B11" w14:textId="77777777" w:rsidR="001C619B" w:rsidRPr="00053FC2" w:rsidRDefault="001C619B" w:rsidP="0035494F">
            <w:pPr>
              <w:rPr>
                <w:b/>
                <w:u w:val="single"/>
              </w:rPr>
            </w:pPr>
          </w:p>
        </w:tc>
        <w:tc>
          <w:tcPr>
            <w:tcW w:w="1861" w:type="dxa"/>
            <w:gridSpan w:val="2"/>
          </w:tcPr>
          <w:p w14:paraId="3CCF8BB1" w14:textId="70639F6C" w:rsidR="001C619B" w:rsidRPr="00522A4D" w:rsidRDefault="00522A4D" w:rsidP="0035494F">
            <w:pPr>
              <w:rPr>
                <w:sz w:val="20"/>
                <w:szCs w:val="20"/>
              </w:rPr>
            </w:pPr>
            <w:r w:rsidRPr="00522A4D">
              <w:rPr>
                <w:sz w:val="20"/>
                <w:szCs w:val="20"/>
              </w:rPr>
              <w:t>Chancellor’s Office</w:t>
            </w:r>
            <w:r>
              <w:rPr>
                <w:sz w:val="20"/>
                <w:szCs w:val="20"/>
              </w:rPr>
              <w:t xml:space="preserve">, RP Group, Regional Consortia </w:t>
            </w:r>
          </w:p>
        </w:tc>
        <w:tc>
          <w:tcPr>
            <w:tcW w:w="2886" w:type="dxa"/>
          </w:tcPr>
          <w:p w14:paraId="012EC7D7" w14:textId="337EED57" w:rsidR="001C619B" w:rsidRPr="00A9445A" w:rsidRDefault="00612F56" w:rsidP="0035494F">
            <w:pPr>
              <w:rPr>
                <w:color w:val="660066"/>
                <w:sz w:val="20"/>
                <w:szCs w:val="20"/>
              </w:rPr>
            </w:pPr>
            <w:r w:rsidRPr="00612F56">
              <w:rPr>
                <w:color w:val="FF0000"/>
                <w:sz w:val="20"/>
                <w:szCs w:val="20"/>
              </w:rPr>
              <w:t>ASCCC Lead</w:t>
            </w:r>
            <w:r w:rsidR="00A9445A">
              <w:rPr>
                <w:color w:val="FF0000"/>
                <w:sz w:val="20"/>
                <w:szCs w:val="20"/>
              </w:rPr>
              <w:t xml:space="preserve">; </w:t>
            </w:r>
            <w:r w:rsidR="00A9445A" w:rsidRPr="005976FE">
              <w:rPr>
                <w:color w:val="FF0000"/>
                <w:sz w:val="20"/>
                <w:szCs w:val="20"/>
              </w:rPr>
              <w:t>develop best practices for implementing dual enrollment programs</w:t>
            </w:r>
          </w:p>
        </w:tc>
      </w:tr>
      <w:tr w:rsidR="001C619B" w14:paraId="136253C9" w14:textId="77777777" w:rsidTr="00414C13">
        <w:tc>
          <w:tcPr>
            <w:tcW w:w="13860" w:type="dxa"/>
            <w:gridSpan w:val="9"/>
          </w:tcPr>
          <w:p w14:paraId="16B0B026" w14:textId="77777777" w:rsidR="001C619B" w:rsidRPr="00351727" w:rsidRDefault="001C619B" w:rsidP="001C619B">
            <w:pPr>
              <w:pStyle w:val="ListParagraph"/>
              <w:numPr>
                <w:ilvl w:val="0"/>
                <w:numId w:val="10"/>
              </w:numPr>
              <w:rPr>
                <w:rFonts w:ascii="Times New Roman" w:hAnsi="Times New Roman" w:cs="Times New Roman"/>
                <w:b/>
                <w:u w:val="single"/>
              </w:rPr>
            </w:pPr>
            <w:r w:rsidRPr="00351727">
              <w:rPr>
                <w:rFonts w:ascii="Times New Roman" w:hAnsi="Times New Roman" w:cs="Times New Roman"/>
              </w:rPr>
              <w:t>Identify and resolve barriers as appropriate to career pathway implementation.</w:t>
            </w:r>
          </w:p>
        </w:tc>
      </w:tr>
      <w:tr w:rsidR="001C619B" w14:paraId="0683B910" w14:textId="77777777" w:rsidTr="000D6D01">
        <w:tc>
          <w:tcPr>
            <w:tcW w:w="3330" w:type="dxa"/>
            <w:gridSpan w:val="2"/>
          </w:tcPr>
          <w:p w14:paraId="4079C2DD" w14:textId="5181E880" w:rsidR="00A9445A" w:rsidRPr="00C32AEB" w:rsidRDefault="00A9445A" w:rsidP="00C32AEB">
            <w:pPr>
              <w:pStyle w:val="ListParagraph"/>
              <w:numPr>
                <w:ilvl w:val="0"/>
                <w:numId w:val="37"/>
              </w:numPr>
              <w:spacing w:line="240" w:lineRule="auto"/>
              <w:ind w:left="360"/>
              <w:rPr>
                <w:rFonts w:ascii="Times New Roman" w:hAnsi="Times New Roman" w:cs="Times New Roman"/>
                <w:color w:val="000000" w:themeColor="text1"/>
                <w:sz w:val="20"/>
                <w:szCs w:val="20"/>
              </w:rPr>
            </w:pPr>
            <w:r w:rsidRPr="00C32AEB">
              <w:rPr>
                <w:rFonts w:ascii="Times New Roman" w:hAnsi="Times New Roman" w:cs="Times New Roman"/>
                <w:color w:val="000000" w:themeColor="text1"/>
                <w:sz w:val="20"/>
                <w:szCs w:val="20"/>
              </w:rPr>
              <w:t>Curriculum</w:t>
            </w:r>
          </w:p>
          <w:p w14:paraId="3E34FF6A" w14:textId="4F1227E4" w:rsidR="001C619B" w:rsidRPr="00C32AEB" w:rsidRDefault="00A9445A" w:rsidP="0035494F">
            <w:pPr>
              <w:pStyle w:val="ListParagraph"/>
              <w:numPr>
                <w:ilvl w:val="0"/>
                <w:numId w:val="37"/>
              </w:numPr>
              <w:spacing w:line="240" w:lineRule="auto"/>
              <w:ind w:left="360"/>
              <w:rPr>
                <w:rFonts w:ascii="Times New Roman" w:hAnsi="Times New Roman" w:cs="Times New Roman"/>
                <w:color w:val="000000" w:themeColor="text1"/>
                <w:sz w:val="20"/>
                <w:szCs w:val="20"/>
              </w:rPr>
            </w:pPr>
            <w:r w:rsidRPr="00C32AEB">
              <w:rPr>
                <w:rFonts w:ascii="Times New Roman" w:hAnsi="Times New Roman" w:cs="Times New Roman"/>
                <w:color w:val="000000" w:themeColor="text1"/>
                <w:sz w:val="20"/>
                <w:szCs w:val="20"/>
              </w:rPr>
              <w:t>Educational program development</w:t>
            </w:r>
          </w:p>
        </w:tc>
        <w:tc>
          <w:tcPr>
            <w:tcW w:w="2633" w:type="dxa"/>
            <w:gridSpan w:val="2"/>
          </w:tcPr>
          <w:p w14:paraId="12376498" w14:textId="77777777" w:rsidR="001C619B" w:rsidRPr="00351727" w:rsidRDefault="001C619B" w:rsidP="0035494F">
            <w:pPr>
              <w:rPr>
                <w:b/>
                <w:u w:val="single"/>
              </w:rPr>
            </w:pPr>
          </w:p>
        </w:tc>
        <w:tc>
          <w:tcPr>
            <w:tcW w:w="3150" w:type="dxa"/>
            <w:gridSpan w:val="2"/>
          </w:tcPr>
          <w:p w14:paraId="721AE1F3" w14:textId="77777777" w:rsidR="001C619B" w:rsidRPr="00351727" w:rsidRDefault="001C619B" w:rsidP="0035494F">
            <w:pPr>
              <w:rPr>
                <w:b/>
                <w:u w:val="single"/>
              </w:rPr>
            </w:pPr>
          </w:p>
        </w:tc>
        <w:tc>
          <w:tcPr>
            <w:tcW w:w="1861" w:type="dxa"/>
            <w:gridSpan w:val="2"/>
          </w:tcPr>
          <w:p w14:paraId="0C5B131A" w14:textId="77777777" w:rsidR="001C619B" w:rsidRPr="00351727" w:rsidRDefault="001C619B" w:rsidP="0035494F">
            <w:pPr>
              <w:rPr>
                <w:b/>
                <w:u w:val="single"/>
              </w:rPr>
            </w:pPr>
          </w:p>
        </w:tc>
        <w:tc>
          <w:tcPr>
            <w:tcW w:w="2886" w:type="dxa"/>
          </w:tcPr>
          <w:p w14:paraId="1CF88E9C" w14:textId="64E40326" w:rsidR="001C619B" w:rsidRPr="00351727" w:rsidRDefault="00612F56" w:rsidP="0035494F">
            <w:pPr>
              <w:rPr>
                <w:sz w:val="20"/>
                <w:szCs w:val="20"/>
              </w:rPr>
            </w:pPr>
            <w:r w:rsidRPr="00351727">
              <w:rPr>
                <w:color w:val="FF0000"/>
                <w:sz w:val="20"/>
                <w:szCs w:val="20"/>
              </w:rPr>
              <w:t>ASCCC Advisory Role</w:t>
            </w:r>
          </w:p>
        </w:tc>
      </w:tr>
      <w:tr w:rsidR="001C619B" w14:paraId="10E982F4" w14:textId="77777777" w:rsidTr="00C32AEB">
        <w:trPr>
          <w:trHeight w:val="764"/>
        </w:trPr>
        <w:tc>
          <w:tcPr>
            <w:tcW w:w="13860" w:type="dxa"/>
            <w:gridSpan w:val="9"/>
          </w:tcPr>
          <w:p w14:paraId="065F4BBF" w14:textId="77777777" w:rsidR="001C619B" w:rsidRPr="00351727" w:rsidRDefault="001C619B" w:rsidP="001C619B">
            <w:pPr>
              <w:pStyle w:val="ListParagraph"/>
              <w:numPr>
                <w:ilvl w:val="0"/>
                <w:numId w:val="10"/>
              </w:numPr>
              <w:rPr>
                <w:rFonts w:ascii="Times New Roman" w:hAnsi="Times New Roman" w:cs="Times New Roman"/>
                <w:b/>
                <w:u w:val="single"/>
              </w:rPr>
            </w:pPr>
            <w:r w:rsidRPr="00351727">
              <w:rPr>
                <w:rFonts w:ascii="Times New Roman" w:hAnsi="Times New Roman" w:cs="Times New Roman"/>
              </w:rPr>
              <w:t>Provide resources to faculty to contextualize basic skills English, math, English as a Second Language, and workplace readiness skills into pathway curricula in collaboration with faculty trained in basic skills disciplines.</w:t>
            </w:r>
          </w:p>
        </w:tc>
      </w:tr>
      <w:tr w:rsidR="001C619B" w14:paraId="3E1BE1FB" w14:textId="77777777" w:rsidTr="000D6D01">
        <w:tc>
          <w:tcPr>
            <w:tcW w:w="3330" w:type="dxa"/>
            <w:gridSpan w:val="2"/>
          </w:tcPr>
          <w:p w14:paraId="5220A2C0" w14:textId="1D6C1EA2" w:rsidR="00A9445A" w:rsidRPr="00C32AEB" w:rsidRDefault="00A9445A" w:rsidP="00C32AEB">
            <w:pPr>
              <w:pStyle w:val="ListParagraph"/>
              <w:numPr>
                <w:ilvl w:val="0"/>
                <w:numId w:val="38"/>
              </w:numPr>
              <w:ind w:left="360"/>
              <w:rPr>
                <w:rFonts w:ascii="Times New Roman" w:hAnsi="Times New Roman" w:cs="Times New Roman"/>
                <w:color w:val="000000" w:themeColor="text1"/>
                <w:sz w:val="20"/>
                <w:szCs w:val="20"/>
              </w:rPr>
            </w:pPr>
            <w:r w:rsidRPr="00C32AEB">
              <w:rPr>
                <w:rFonts w:ascii="Times New Roman" w:hAnsi="Times New Roman" w:cs="Times New Roman"/>
                <w:color w:val="000000" w:themeColor="text1"/>
                <w:sz w:val="20"/>
                <w:szCs w:val="20"/>
              </w:rPr>
              <w:t>Curriculum</w:t>
            </w:r>
          </w:p>
          <w:p w14:paraId="695196B1" w14:textId="549F7B58" w:rsidR="001C619B" w:rsidRPr="00C32AEB" w:rsidRDefault="00A9445A" w:rsidP="0035494F">
            <w:pPr>
              <w:pStyle w:val="ListParagraph"/>
              <w:numPr>
                <w:ilvl w:val="0"/>
                <w:numId w:val="38"/>
              </w:numPr>
              <w:ind w:left="360"/>
              <w:rPr>
                <w:rFonts w:ascii="Times New Roman" w:hAnsi="Times New Roman" w:cs="Times New Roman"/>
                <w:color w:val="000000" w:themeColor="text1"/>
                <w:sz w:val="20"/>
                <w:szCs w:val="20"/>
              </w:rPr>
            </w:pPr>
            <w:r w:rsidRPr="00C32AEB">
              <w:rPr>
                <w:rFonts w:ascii="Times New Roman" w:hAnsi="Times New Roman" w:cs="Times New Roman"/>
                <w:color w:val="000000" w:themeColor="text1"/>
                <w:sz w:val="20"/>
                <w:szCs w:val="20"/>
              </w:rPr>
              <w:t>Educational program development</w:t>
            </w:r>
          </w:p>
        </w:tc>
        <w:tc>
          <w:tcPr>
            <w:tcW w:w="2633" w:type="dxa"/>
            <w:gridSpan w:val="2"/>
          </w:tcPr>
          <w:p w14:paraId="7A0EEC26" w14:textId="77777777" w:rsidR="001C619B" w:rsidRPr="00053FC2" w:rsidRDefault="001C619B" w:rsidP="0035494F">
            <w:pPr>
              <w:rPr>
                <w:b/>
                <w:u w:val="single"/>
              </w:rPr>
            </w:pPr>
          </w:p>
        </w:tc>
        <w:tc>
          <w:tcPr>
            <w:tcW w:w="3150" w:type="dxa"/>
            <w:gridSpan w:val="2"/>
          </w:tcPr>
          <w:p w14:paraId="1525684C" w14:textId="630EA46B" w:rsidR="0026155E" w:rsidRPr="00C32AEB" w:rsidRDefault="0026155E" w:rsidP="0035494F">
            <w:pPr>
              <w:rPr>
                <w:sz w:val="20"/>
                <w:szCs w:val="20"/>
              </w:rPr>
            </w:pPr>
            <w:r w:rsidRPr="00C32AEB">
              <w:rPr>
                <w:sz w:val="20"/>
                <w:szCs w:val="20"/>
              </w:rPr>
              <w:t>S</w:t>
            </w:r>
            <w:r w:rsidR="00612F56" w:rsidRPr="00C32AEB">
              <w:rPr>
                <w:sz w:val="20"/>
                <w:szCs w:val="20"/>
              </w:rPr>
              <w:t>ee 2b</w:t>
            </w:r>
          </w:p>
          <w:p w14:paraId="29866491" w14:textId="5229F836" w:rsidR="0026155E" w:rsidRPr="0026155E" w:rsidRDefault="0026155E" w:rsidP="0035494F"/>
        </w:tc>
        <w:tc>
          <w:tcPr>
            <w:tcW w:w="1861" w:type="dxa"/>
            <w:gridSpan w:val="2"/>
          </w:tcPr>
          <w:p w14:paraId="23CCE4C5" w14:textId="77777777" w:rsidR="001C619B" w:rsidRPr="00053FC2" w:rsidRDefault="001C619B" w:rsidP="0035494F">
            <w:pPr>
              <w:rPr>
                <w:b/>
                <w:u w:val="single"/>
              </w:rPr>
            </w:pPr>
          </w:p>
        </w:tc>
        <w:tc>
          <w:tcPr>
            <w:tcW w:w="2886" w:type="dxa"/>
          </w:tcPr>
          <w:p w14:paraId="06712818" w14:textId="1909BC8A" w:rsidR="001C619B" w:rsidRPr="00612F56" w:rsidRDefault="00612F56" w:rsidP="0035494F">
            <w:r w:rsidRPr="00612F56">
              <w:rPr>
                <w:color w:val="FF0000"/>
              </w:rPr>
              <w:t>ASCCC Lead</w:t>
            </w:r>
            <w:r w:rsidR="00A9445A">
              <w:rPr>
                <w:color w:val="FF0000"/>
              </w:rPr>
              <w:t xml:space="preserve"> </w:t>
            </w:r>
            <w:r w:rsidR="00A9445A" w:rsidRPr="005976FE">
              <w:rPr>
                <w:color w:val="000000" w:themeColor="text1"/>
              </w:rPr>
              <w:t>and advisory on resource allocation</w:t>
            </w:r>
          </w:p>
        </w:tc>
      </w:tr>
      <w:tr w:rsidR="001C619B" w14:paraId="33412E04" w14:textId="77777777" w:rsidTr="00612F56">
        <w:trPr>
          <w:trHeight w:val="314"/>
        </w:trPr>
        <w:tc>
          <w:tcPr>
            <w:tcW w:w="13860" w:type="dxa"/>
            <w:gridSpan w:val="9"/>
          </w:tcPr>
          <w:p w14:paraId="4EB93C0A" w14:textId="77777777" w:rsidR="001C619B" w:rsidRPr="004A7E6A" w:rsidRDefault="001C619B" w:rsidP="001C619B">
            <w:pPr>
              <w:pStyle w:val="ListParagraph"/>
              <w:numPr>
                <w:ilvl w:val="0"/>
                <w:numId w:val="10"/>
              </w:numPr>
              <w:rPr>
                <w:rFonts w:ascii="Times New Roman" w:hAnsi="Times New Roman" w:cs="Times New Roman"/>
                <w:color w:val="000000" w:themeColor="text1"/>
                <w:sz w:val="20"/>
                <w:szCs w:val="20"/>
              </w:rPr>
            </w:pPr>
            <w:r w:rsidRPr="004A7E6A">
              <w:rPr>
                <w:rFonts w:ascii="Times New Roman" w:hAnsi="Times New Roman" w:cs="Times New Roman"/>
                <w:color w:val="000000" w:themeColor="text1"/>
                <w:sz w:val="20"/>
                <w:szCs w:val="20"/>
              </w:rPr>
              <w:t>Enable and encourage faculty to develop applied English and math courses that meet both CTE and associate degree requirements.</w:t>
            </w:r>
          </w:p>
        </w:tc>
      </w:tr>
      <w:tr w:rsidR="001C619B" w14:paraId="4EBC92AB" w14:textId="77777777" w:rsidTr="000D6D01">
        <w:tc>
          <w:tcPr>
            <w:tcW w:w="3330" w:type="dxa"/>
            <w:gridSpan w:val="2"/>
          </w:tcPr>
          <w:p w14:paraId="064934CA" w14:textId="4E13CDFD" w:rsidR="00A9445A" w:rsidRPr="00C32AEB" w:rsidRDefault="00A9445A" w:rsidP="00C32AEB">
            <w:pPr>
              <w:pStyle w:val="ListParagraph"/>
              <w:numPr>
                <w:ilvl w:val="0"/>
                <w:numId w:val="39"/>
              </w:numPr>
              <w:spacing w:line="240" w:lineRule="auto"/>
              <w:ind w:left="360"/>
              <w:rPr>
                <w:rFonts w:ascii="Times New Roman" w:hAnsi="Times New Roman" w:cs="Times New Roman"/>
                <w:color w:val="000000" w:themeColor="text1"/>
                <w:sz w:val="20"/>
                <w:szCs w:val="20"/>
              </w:rPr>
            </w:pPr>
            <w:r w:rsidRPr="00C32AEB">
              <w:rPr>
                <w:rFonts w:ascii="Times New Roman" w:hAnsi="Times New Roman" w:cs="Times New Roman"/>
                <w:color w:val="000000" w:themeColor="text1"/>
                <w:sz w:val="20"/>
                <w:szCs w:val="20"/>
              </w:rPr>
              <w:t>Curriculum</w:t>
            </w:r>
          </w:p>
          <w:p w14:paraId="668F15E2" w14:textId="33DE0405" w:rsidR="001C619B" w:rsidRPr="00C32AEB" w:rsidRDefault="00A9445A" w:rsidP="0035494F">
            <w:pPr>
              <w:pStyle w:val="ListParagraph"/>
              <w:numPr>
                <w:ilvl w:val="0"/>
                <w:numId w:val="39"/>
              </w:numPr>
              <w:spacing w:line="240" w:lineRule="auto"/>
              <w:ind w:left="360"/>
              <w:rPr>
                <w:color w:val="000000" w:themeColor="text1"/>
                <w:sz w:val="20"/>
                <w:szCs w:val="20"/>
              </w:rPr>
            </w:pPr>
            <w:r w:rsidRPr="00C32AEB">
              <w:rPr>
                <w:rFonts w:ascii="Times New Roman" w:hAnsi="Times New Roman" w:cs="Times New Roman"/>
                <w:color w:val="000000" w:themeColor="text1"/>
                <w:sz w:val="20"/>
                <w:szCs w:val="20"/>
              </w:rPr>
              <w:t>Educational program development</w:t>
            </w:r>
          </w:p>
        </w:tc>
        <w:tc>
          <w:tcPr>
            <w:tcW w:w="2633" w:type="dxa"/>
            <w:gridSpan w:val="2"/>
          </w:tcPr>
          <w:p w14:paraId="1A47756A" w14:textId="77777777" w:rsidR="001C619B" w:rsidRPr="00053FC2" w:rsidRDefault="001C619B" w:rsidP="0035494F">
            <w:pPr>
              <w:rPr>
                <w:b/>
                <w:u w:val="single"/>
              </w:rPr>
            </w:pPr>
          </w:p>
        </w:tc>
        <w:tc>
          <w:tcPr>
            <w:tcW w:w="3150" w:type="dxa"/>
            <w:gridSpan w:val="2"/>
          </w:tcPr>
          <w:p w14:paraId="42703614" w14:textId="764FA234" w:rsidR="001C619B" w:rsidRPr="00C32AEB" w:rsidRDefault="00612F56" w:rsidP="0035494F">
            <w:pPr>
              <w:rPr>
                <w:sz w:val="20"/>
                <w:szCs w:val="20"/>
              </w:rPr>
            </w:pPr>
            <w:r w:rsidRPr="00C32AEB">
              <w:rPr>
                <w:sz w:val="20"/>
                <w:szCs w:val="20"/>
              </w:rPr>
              <w:t>See 2b</w:t>
            </w:r>
          </w:p>
        </w:tc>
        <w:tc>
          <w:tcPr>
            <w:tcW w:w="1861" w:type="dxa"/>
            <w:gridSpan w:val="2"/>
          </w:tcPr>
          <w:p w14:paraId="65D77D8C" w14:textId="77777777" w:rsidR="001C619B" w:rsidRPr="00053FC2" w:rsidRDefault="001C619B" w:rsidP="0035494F">
            <w:pPr>
              <w:rPr>
                <w:b/>
                <w:u w:val="single"/>
              </w:rPr>
            </w:pPr>
          </w:p>
        </w:tc>
        <w:tc>
          <w:tcPr>
            <w:tcW w:w="2886" w:type="dxa"/>
          </w:tcPr>
          <w:p w14:paraId="16F84D5C" w14:textId="416C5D64" w:rsidR="001C619B" w:rsidRPr="00053FC2" w:rsidRDefault="00612F56" w:rsidP="0035494F">
            <w:pPr>
              <w:rPr>
                <w:b/>
                <w:u w:val="single"/>
              </w:rPr>
            </w:pPr>
            <w:r w:rsidRPr="00612F56">
              <w:rPr>
                <w:color w:val="FF0000"/>
              </w:rPr>
              <w:t>ASCCC Lead</w:t>
            </w:r>
          </w:p>
        </w:tc>
      </w:tr>
      <w:tr w:rsidR="001C619B" w14:paraId="2910C27A" w14:textId="77777777" w:rsidTr="00414C13">
        <w:tc>
          <w:tcPr>
            <w:tcW w:w="13860" w:type="dxa"/>
            <w:gridSpan w:val="9"/>
          </w:tcPr>
          <w:p w14:paraId="33539891" w14:textId="77777777" w:rsidR="001C619B" w:rsidRPr="00351727" w:rsidRDefault="001C619B" w:rsidP="001C619B">
            <w:pPr>
              <w:pStyle w:val="ListParagraph"/>
              <w:numPr>
                <w:ilvl w:val="0"/>
                <w:numId w:val="10"/>
              </w:numPr>
              <w:rPr>
                <w:rFonts w:ascii="Times New Roman" w:hAnsi="Times New Roman" w:cs="Times New Roman"/>
                <w:b/>
                <w:u w:val="single"/>
              </w:rPr>
            </w:pPr>
            <w:r w:rsidRPr="00351727">
              <w:rPr>
                <w:rFonts w:ascii="Times New Roman" w:hAnsi="Times New Roman" w:cs="Times New Roman"/>
              </w:rPr>
              <w:t>Support the ongoing development and implementation of current initiatives to develop programs of study tools for bridging from high school and adult education preparation into community college CTE pathways in order to help community college students plan their CTE course taking.</w:t>
            </w:r>
          </w:p>
        </w:tc>
      </w:tr>
      <w:tr w:rsidR="001C619B" w14:paraId="051112C4" w14:textId="77777777" w:rsidTr="000D6D01">
        <w:tc>
          <w:tcPr>
            <w:tcW w:w="3330" w:type="dxa"/>
            <w:gridSpan w:val="2"/>
          </w:tcPr>
          <w:p w14:paraId="59D99C43" w14:textId="564CA133" w:rsidR="00131E83" w:rsidRPr="00C32AEB" w:rsidRDefault="00131E83" w:rsidP="00C32AEB">
            <w:pPr>
              <w:pStyle w:val="ListParagraph"/>
              <w:numPr>
                <w:ilvl w:val="0"/>
                <w:numId w:val="40"/>
              </w:numPr>
              <w:ind w:left="360"/>
              <w:rPr>
                <w:rFonts w:ascii="Times New Roman" w:hAnsi="Times New Roman" w:cs="Times New Roman"/>
                <w:color w:val="000000" w:themeColor="text1"/>
                <w:sz w:val="20"/>
                <w:szCs w:val="20"/>
              </w:rPr>
            </w:pPr>
            <w:r w:rsidRPr="00C32AEB">
              <w:rPr>
                <w:rFonts w:ascii="Times New Roman" w:hAnsi="Times New Roman" w:cs="Times New Roman"/>
                <w:color w:val="000000" w:themeColor="text1"/>
                <w:sz w:val="20"/>
                <w:szCs w:val="20"/>
              </w:rPr>
              <w:t>Curriculum</w:t>
            </w:r>
          </w:p>
          <w:p w14:paraId="030186F5" w14:textId="2692E340" w:rsidR="001C619B" w:rsidRPr="00C32AEB" w:rsidRDefault="00131E83" w:rsidP="0035494F">
            <w:pPr>
              <w:pStyle w:val="ListParagraph"/>
              <w:numPr>
                <w:ilvl w:val="0"/>
                <w:numId w:val="40"/>
              </w:numPr>
              <w:ind w:left="360"/>
              <w:rPr>
                <w:rFonts w:ascii="Times New Roman" w:hAnsi="Times New Roman" w:cs="Times New Roman"/>
                <w:color w:val="000000" w:themeColor="text1"/>
                <w:sz w:val="20"/>
                <w:szCs w:val="20"/>
              </w:rPr>
            </w:pPr>
            <w:r w:rsidRPr="00C32AEB">
              <w:rPr>
                <w:rFonts w:ascii="Times New Roman" w:hAnsi="Times New Roman" w:cs="Times New Roman"/>
                <w:color w:val="000000" w:themeColor="text1"/>
                <w:sz w:val="20"/>
                <w:szCs w:val="20"/>
              </w:rPr>
              <w:t>Educational program development</w:t>
            </w:r>
          </w:p>
        </w:tc>
        <w:tc>
          <w:tcPr>
            <w:tcW w:w="2633" w:type="dxa"/>
            <w:gridSpan w:val="2"/>
          </w:tcPr>
          <w:p w14:paraId="6CA3272A" w14:textId="727A4CE7" w:rsidR="001C619B" w:rsidRPr="004A7E6A" w:rsidRDefault="00131E83" w:rsidP="0035494F">
            <w:pPr>
              <w:rPr>
                <w:color w:val="000000" w:themeColor="text1"/>
                <w:sz w:val="20"/>
                <w:szCs w:val="20"/>
              </w:rPr>
            </w:pPr>
            <w:r w:rsidRPr="004A7E6A">
              <w:rPr>
                <w:color w:val="000000" w:themeColor="text1"/>
                <w:sz w:val="20"/>
                <w:szCs w:val="20"/>
              </w:rPr>
              <w:t>Policy direction on expanding the scope of SCP to include model curriculum</w:t>
            </w:r>
          </w:p>
        </w:tc>
        <w:tc>
          <w:tcPr>
            <w:tcW w:w="3150" w:type="dxa"/>
            <w:gridSpan w:val="2"/>
          </w:tcPr>
          <w:p w14:paraId="351022D7" w14:textId="77777777" w:rsidR="001C619B" w:rsidRPr="004A7E6A" w:rsidRDefault="000C6AE3" w:rsidP="0035494F">
            <w:pPr>
              <w:rPr>
                <w:color w:val="000000" w:themeColor="text1"/>
                <w:sz w:val="20"/>
                <w:szCs w:val="20"/>
              </w:rPr>
            </w:pPr>
            <w:r w:rsidRPr="004A7E6A">
              <w:rPr>
                <w:color w:val="000000" w:themeColor="text1"/>
                <w:sz w:val="20"/>
                <w:szCs w:val="20"/>
              </w:rPr>
              <w:t>See 1b.</w:t>
            </w:r>
          </w:p>
          <w:p w14:paraId="4A225F02" w14:textId="50A3C02B" w:rsidR="000C6AE3" w:rsidRPr="004A7E6A" w:rsidRDefault="000C6AE3" w:rsidP="0035494F">
            <w:pPr>
              <w:rPr>
                <w:color w:val="000000" w:themeColor="text1"/>
                <w:sz w:val="20"/>
                <w:szCs w:val="20"/>
              </w:rPr>
            </w:pPr>
          </w:p>
        </w:tc>
        <w:tc>
          <w:tcPr>
            <w:tcW w:w="1861" w:type="dxa"/>
            <w:gridSpan w:val="2"/>
          </w:tcPr>
          <w:p w14:paraId="23A3BE19" w14:textId="77777777" w:rsidR="001C619B" w:rsidRPr="00053FC2" w:rsidRDefault="001C619B" w:rsidP="0035494F">
            <w:pPr>
              <w:rPr>
                <w:b/>
                <w:u w:val="single"/>
              </w:rPr>
            </w:pPr>
          </w:p>
        </w:tc>
        <w:tc>
          <w:tcPr>
            <w:tcW w:w="2886" w:type="dxa"/>
          </w:tcPr>
          <w:p w14:paraId="5BC08DE9" w14:textId="47155730" w:rsidR="001C619B" w:rsidRPr="000C6AE3" w:rsidRDefault="000C6AE3" w:rsidP="0035494F">
            <w:pPr>
              <w:rPr>
                <w:color w:val="FF0000"/>
                <w:sz w:val="20"/>
                <w:szCs w:val="20"/>
              </w:rPr>
            </w:pPr>
            <w:r>
              <w:rPr>
                <w:color w:val="FF0000"/>
                <w:sz w:val="20"/>
                <w:szCs w:val="20"/>
              </w:rPr>
              <w:t xml:space="preserve">ASCCC Lead </w:t>
            </w:r>
          </w:p>
        </w:tc>
      </w:tr>
      <w:tr w:rsidR="0035494F" w14:paraId="3CF1982F" w14:textId="77777777" w:rsidTr="001C619B">
        <w:tc>
          <w:tcPr>
            <w:tcW w:w="13860" w:type="dxa"/>
            <w:gridSpan w:val="9"/>
            <w:shd w:val="clear" w:color="auto" w:fill="BFBFBF" w:themeFill="background1" w:themeFillShade="BF"/>
          </w:tcPr>
          <w:p w14:paraId="7B09AAFD" w14:textId="77777777" w:rsidR="0035494F" w:rsidRPr="0035494F" w:rsidRDefault="0035494F" w:rsidP="0035494F">
            <w:pPr>
              <w:jc w:val="center"/>
              <w:rPr>
                <w:b/>
              </w:rPr>
            </w:pPr>
            <w:r>
              <w:rPr>
                <w:b/>
              </w:rPr>
              <w:t>WORKFORCE DATA AND OUTCOMES</w:t>
            </w:r>
          </w:p>
        </w:tc>
      </w:tr>
      <w:tr w:rsidR="004B7F8C" w14:paraId="0121F19A" w14:textId="77777777" w:rsidTr="00414C13">
        <w:tc>
          <w:tcPr>
            <w:tcW w:w="13860" w:type="dxa"/>
            <w:gridSpan w:val="9"/>
          </w:tcPr>
          <w:p w14:paraId="1B6808AF" w14:textId="77777777" w:rsidR="004B7F8C" w:rsidRPr="00351727" w:rsidRDefault="004B7F8C" w:rsidP="004B7F8C">
            <w:pPr>
              <w:pStyle w:val="ListParagraph"/>
              <w:numPr>
                <w:ilvl w:val="0"/>
                <w:numId w:val="3"/>
              </w:numPr>
              <w:rPr>
                <w:rFonts w:ascii="Times New Roman" w:hAnsi="Times New Roman" w:cs="Times New Roman"/>
                <w:b/>
                <w:u w:val="single"/>
              </w:rPr>
            </w:pPr>
            <w:r w:rsidRPr="00351727">
              <w:rPr>
                <w:rFonts w:ascii="Times New Roman" w:hAnsi="Times New Roman" w:cs="Times New Roman"/>
                <w:b/>
              </w:rPr>
              <w:t xml:space="preserve">Create common workforce metrics for all state-funded CTE programs and expand the definition of student success to better reflect the wide array of CTE outcomes of community college students. </w:t>
            </w:r>
          </w:p>
        </w:tc>
      </w:tr>
      <w:tr w:rsidR="00A3080C" w14:paraId="082E056E" w14:textId="77777777" w:rsidTr="00414C13">
        <w:tc>
          <w:tcPr>
            <w:tcW w:w="13860" w:type="dxa"/>
            <w:gridSpan w:val="9"/>
          </w:tcPr>
          <w:p w14:paraId="0E3E5420" w14:textId="77777777" w:rsidR="00A3080C" w:rsidRPr="00351727" w:rsidRDefault="00A3080C" w:rsidP="00FF4382">
            <w:pPr>
              <w:pStyle w:val="ListParagraph"/>
              <w:numPr>
                <w:ilvl w:val="0"/>
                <w:numId w:val="11"/>
              </w:numPr>
              <w:spacing w:line="240" w:lineRule="auto"/>
              <w:rPr>
                <w:rFonts w:ascii="Times New Roman" w:hAnsi="Times New Roman" w:cs="Times New Roman"/>
                <w:b/>
                <w:u w:val="single"/>
              </w:rPr>
            </w:pPr>
            <w:r w:rsidRPr="00351727">
              <w:rPr>
                <w:rFonts w:ascii="Times New Roman" w:hAnsi="Times New Roman" w:cs="Times New Roman"/>
              </w:rPr>
              <w:t>Develop, streamline, and align common outcome metrics for all statefunded CTE programs and ensure that they are compatible with federal reporting requirements.</w:t>
            </w:r>
          </w:p>
        </w:tc>
      </w:tr>
      <w:tr w:rsidR="004B7F8C" w14:paraId="3E86B09C" w14:textId="77777777" w:rsidTr="000D6D01">
        <w:tc>
          <w:tcPr>
            <w:tcW w:w="3330" w:type="dxa"/>
            <w:gridSpan w:val="2"/>
          </w:tcPr>
          <w:p w14:paraId="6892F59B" w14:textId="61EEBB63" w:rsidR="004B7F8C" w:rsidRPr="004A7E6A" w:rsidRDefault="00633AA1" w:rsidP="0035494F">
            <w:pPr>
              <w:rPr>
                <w:color w:val="008000"/>
                <w:sz w:val="20"/>
                <w:szCs w:val="20"/>
              </w:rPr>
            </w:pPr>
            <w:r w:rsidRPr="004A7E6A">
              <w:rPr>
                <w:color w:val="000000" w:themeColor="text1"/>
                <w:sz w:val="20"/>
                <w:szCs w:val="20"/>
              </w:rPr>
              <w:t>Processes for program review</w:t>
            </w:r>
          </w:p>
        </w:tc>
        <w:tc>
          <w:tcPr>
            <w:tcW w:w="2633" w:type="dxa"/>
            <w:gridSpan w:val="2"/>
          </w:tcPr>
          <w:p w14:paraId="68E53D0B" w14:textId="77777777" w:rsidR="004B7F8C" w:rsidRPr="00053FC2" w:rsidRDefault="004B7F8C" w:rsidP="0035494F">
            <w:pPr>
              <w:rPr>
                <w:b/>
                <w:u w:val="single"/>
              </w:rPr>
            </w:pPr>
          </w:p>
        </w:tc>
        <w:tc>
          <w:tcPr>
            <w:tcW w:w="3150" w:type="dxa"/>
            <w:gridSpan w:val="2"/>
          </w:tcPr>
          <w:p w14:paraId="2BF7A526" w14:textId="77777777" w:rsidR="0078023B" w:rsidRPr="00A92982" w:rsidRDefault="00C764A9" w:rsidP="0078023B">
            <w:pPr>
              <w:pStyle w:val="NormalWeb"/>
              <w:spacing w:before="0" w:beforeAutospacing="0" w:after="240" w:afterAutospacing="0"/>
              <w:rPr>
                <w:color w:val="574C45"/>
                <w:sz w:val="20"/>
                <w:szCs w:val="20"/>
              </w:rPr>
            </w:pPr>
            <w:hyperlink r:id="rId11" w:history="1">
              <w:r w:rsidR="0078023B" w:rsidRPr="00A92982">
                <w:rPr>
                  <w:rStyle w:val="Hyperlink"/>
                  <w:sz w:val="20"/>
                  <w:szCs w:val="20"/>
                </w:rPr>
                <w:t>8.01 F14 Recognition for Skills-builder Completion</w:t>
              </w:r>
            </w:hyperlink>
            <w:r w:rsidR="0078023B" w:rsidRPr="00A92982">
              <w:rPr>
                <w:color w:val="574C45"/>
                <w:sz w:val="20"/>
                <w:szCs w:val="20"/>
              </w:rPr>
              <w:t xml:space="preserve"> </w:t>
            </w:r>
          </w:p>
          <w:p w14:paraId="3D63CF93" w14:textId="1B04D02A" w:rsidR="004B7F8C" w:rsidRPr="00FF4382" w:rsidRDefault="0078023B" w:rsidP="0035494F">
            <w:pPr>
              <w:rPr>
                <w:rFonts w:eastAsia="Times New Roman"/>
                <w:sz w:val="20"/>
                <w:szCs w:val="20"/>
              </w:rPr>
            </w:pPr>
            <w:r>
              <w:rPr>
                <w:rFonts w:eastAsia="Times New Roman"/>
                <w:color w:val="574C45"/>
                <w:sz w:val="20"/>
                <w:szCs w:val="20"/>
              </w:rPr>
              <w:t>W</w:t>
            </w:r>
            <w:r w:rsidRPr="00A92982">
              <w:rPr>
                <w:rFonts w:eastAsia="Times New Roman"/>
                <w:color w:val="574C45"/>
                <w:sz w:val="20"/>
                <w:szCs w:val="20"/>
              </w:rPr>
              <w:t>ork with the Chancellor’s Office to develop a mechanism to count students’ successfully completed educational plans as completions.</w:t>
            </w:r>
          </w:p>
        </w:tc>
        <w:tc>
          <w:tcPr>
            <w:tcW w:w="1861" w:type="dxa"/>
            <w:gridSpan w:val="2"/>
          </w:tcPr>
          <w:p w14:paraId="391F088E" w14:textId="77777777" w:rsidR="004B7F8C" w:rsidRPr="00053FC2" w:rsidRDefault="004B7F8C" w:rsidP="0035494F">
            <w:pPr>
              <w:rPr>
                <w:b/>
                <w:u w:val="single"/>
              </w:rPr>
            </w:pPr>
          </w:p>
        </w:tc>
        <w:tc>
          <w:tcPr>
            <w:tcW w:w="2886" w:type="dxa"/>
          </w:tcPr>
          <w:p w14:paraId="6552FE97" w14:textId="77777777" w:rsidR="004B7F8C" w:rsidRDefault="0078023B" w:rsidP="0035494F">
            <w:pPr>
              <w:rPr>
                <w:color w:val="FF0000"/>
                <w:sz w:val="20"/>
                <w:szCs w:val="20"/>
              </w:rPr>
            </w:pPr>
            <w:r w:rsidRPr="0078023B">
              <w:rPr>
                <w:color w:val="FF0000"/>
                <w:sz w:val="20"/>
                <w:szCs w:val="20"/>
              </w:rPr>
              <w:t>ASCCC Advisory</w:t>
            </w:r>
          </w:p>
          <w:p w14:paraId="7697F45E" w14:textId="52962695" w:rsidR="0078023B" w:rsidRPr="0078023B" w:rsidRDefault="0078023B" w:rsidP="0035494F">
            <w:pPr>
              <w:rPr>
                <w:sz w:val="20"/>
                <w:szCs w:val="20"/>
              </w:rPr>
            </w:pPr>
          </w:p>
        </w:tc>
      </w:tr>
      <w:tr w:rsidR="00A3080C" w14:paraId="309869A0" w14:textId="77777777" w:rsidTr="0079050A">
        <w:trPr>
          <w:trHeight w:val="737"/>
        </w:trPr>
        <w:tc>
          <w:tcPr>
            <w:tcW w:w="13860" w:type="dxa"/>
            <w:gridSpan w:val="9"/>
          </w:tcPr>
          <w:p w14:paraId="50323141" w14:textId="77777777" w:rsidR="00A3080C" w:rsidRPr="00351727" w:rsidRDefault="00A3080C" w:rsidP="00A3080C">
            <w:pPr>
              <w:pStyle w:val="ListParagraph"/>
              <w:numPr>
                <w:ilvl w:val="0"/>
                <w:numId w:val="11"/>
              </w:numPr>
              <w:rPr>
                <w:rFonts w:ascii="Times New Roman" w:hAnsi="Times New Roman" w:cs="Times New Roman"/>
                <w:b/>
                <w:u w:val="single"/>
              </w:rPr>
            </w:pPr>
            <w:r w:rsidRPr="00351727">
              <w:rPr>
                <w:rFonts w:ascii="Times New Roman" w:hAnsi="Times New Roman" w:cs="Times New Roman"/>
              </w:rPr>
              <w:t>Expand the definition of student success to better address workforce training outcomes for both “completers” (students who attain certificates, including low-unit certificates, defined as fewer than 12 units; degrees; transfer-readiness; or enrollment in four-year institutions) and "skills builders” (workers who are maintaining and adding to skill sets required for ongoing employment and career advancement).</w:t>
            </w:r>
          </w:p>
        </w:tc>
      </w:tr>
      <w:tr w:rsidR="00A3080C" w14:paraId="77782BFD" w14:textId="77777777" w:rsidTr="000D6D01">
        <w:tc>
          <w:tcPr>
            <w:tcW w:w="3330" w:type="dxa"/>
            <w:gridSpan w:val="2"/>
          </w:tcPr>
          <w:p w14:paraId="6218DEE3" w14:textId="3AFEA7A3" w:rsidR="00A3080C" w:rsidRPr="004A7E6A" w:rsidRDefault="00633AA1" w:rsidP="0035494F">
            <w:pPr>
              <w:rPr>
                <w:color w:val="000000" w:themeColor="text1"/>
                <w:sz w:val="20"/>
                <w:szCs w:val="20"/>
              </w:rPr>
            </w:pPr>
            <w:r w:rsidRPr="004A7E6A">
              <w:rPr>
                <w:color w:val="000000" w:themeColor="text1"/>
                <w:sz w:val="20"/>
                <w:szCs w:val="20"/>
              </w:rPr>
              <w:t>Processes for program review</w:t>
            </w:r>
          </w:p>
        </w:tc>
        <w:tc>
          <w:tcPr>
            <w:tcW w:w="2633" w:type="dxa"/>
            <w:gridSpan w:val="2"/>
          </w:tcPr>
          <w:p w14:paraId="6F2B9A68" w14:textId="77777777" w:rsidR="00A3080C" w:rsidRPr="004A7E6A" w:rsidRDefault="00A3080C" w:rsidP="0035494F">
            <w:pPr>
              <w:rPr>
                <w:color w:val="000000" w:themeColor="text1"/>
                <w:sz w:val="20"/>
                <w:szCs w:val="20"/>
              </w:rPr>
            </w:pPr>
          </w:p>
        </w:tc>
        <w:tc>
          <w:tcPr>
            <w:tcW w:w="3150" w:type="dxa"/>
            <w:gridSpan w:val="2"/>
          </w:tcPr>
          <w:p w14:paraId="12321E4C" w14:textId="21E1CBD5" w:rsidR="007E68B3" w:rsidRPr="0026155E" w:rsidRDefault="0026155E" w:rsidP="007E68B3">
            <w:pPr>
              <w:widowControl w:val="0"/>
              <w:rPr>
                <w:rStyle w:val="Hyperlink"/>
                <w:sz w:val="20"/>
                <w:szCs w:val="20"/>
              </w:rPr>
            </w:pPr>
            <w:r>
              <w:rPr>
                <w:sz w:val="20"/>
                <w:szCs w:val="20"/>
              </w:rPr>
              <w:fldChar w:fldCharType="begin"/>
            </w:r>
            <w:r>
              <w:rPr>
                <w:sz w:val="20"/>
                <w:szCs w:val="20"/>
              </w:rPr>
              <w:instrText xml:space="preserve"> HYPERLINK "http://www.asccc.org/resolutions/broaden-definitions-success-and-completion" </w:instrText>
            </w:r>
            <w:r>
              <w:rPr>
                <w:sz w:val="20"/>
                <w:szCs w:val="20"/>
              </w:rPr>
              <w:fldChar w:fldCharType="separate"/>
            </w:r>
            <w:r w:rsidR="007E68B3" w:rsidRPr="0026155E">
              <w:rPr>
                <w:rStyle w:val="Hyperlink"/>
                <w:sz w:val="20"/>
                <w:szCs w:val="20"/>
              </w:rPr>
              <w:t>08.02 F14</w:t>
            </w:r>
          </w:p>
          <w:p w14:paraId="13329796" w14:textId="2B091AD7" w:rsidR="003D779A" w:rsidRPr="0026155E" w:rsidRDefault="003D779A" w:rsidP="003D779A">
            <w:pPr>
              <w:widowControl w:val="0"/>
              <w:rPr>
                <w:rStyle w:val="Hyperlink"/>
                <w:sz w:val="20"/>
                <w:szCs w:val="20"/>
              </w:rPr>
            </w:pPr>
            <w:r w:rsidRPr="0026155E">
              <w:rPr>
                <w:rStyle w:val="Hyperlink"/>
                <w:sz w:val="20"/>
                <w:szCs w:val="20"/>
              </w:rPr>
              <w:t>Broaden Definitions of Success and Completion</w:t>
            </w:r>
          </w:p>
          <w:p w14:paraId="760B049E" w14:textId="739CCBC9" w:rsidR="009118F4" w:rsidRPr="0026155E" w:rsidRDefault="0026155E" w:rsidP="003D779A">
            <w:pPr>
              <w:widowControl w:val="0"/>
              <w:rPr>
                <w:sz w:val="20"/>
                <w:szCs w:val="20"/>
              </w:rPr>
            </w:pPr>
            <w:r>
              <w:rPr>
                <w:sz w:val="20"/>
                <w:szCs w:val="20"/>
              </w:rPr>
              <w:fldChar w:fldCharType="end"/>
            </w:r>
          </w:p>
          <w:p w14:paraId="33889C3F" w14:textId="525E3586" w:rsidR="0026155E" w:rsidRPr="0026155E" w:rsidRDefault="0026155E" w:rsidP="0026155E">
            <w:pPr>
              <w:widowControl w:val="0"/>
              <w:rPr>
                <w:sz w:val="20"/>
                <w:szCs w:val="20"/>
              </w:rPr>
            </w:pPr>
            <w:r>
              <w:rPr>
                <w:sz w:val="20"/>
                <w:szCs w:val="20"/>
              </w:rPr>
              <w:t>W</w:t>
            </w:r>
            <w:r w:rsidR="009118F4" w:rsidRPr="0026155E">
              <w:rPr>
                <w:sz w:val="20"/>
                <w:szCs w:val="20"/>
              </w:rPr>
              <w:t>ork with the Chancellor’s Office to collect data and the legislature to recognize other educational goals and completion parameters such as transfer to out-of-state and private universities, gaining employment, or improving employment, which are consistent with the established mission of the California community colleges; and</w:t>
            </w:r>
          </w:p>
          <w:p w14:paraId="1FBD12D8" w14:textId="1FA5FA6B" w:rsidR="009118F4" w:rsidRPr="0026155E" w:rsidRDefault="0026155E" w:rsidP="003D779A">
            <w:pPr>
              <w:widowControl w:val="0"/>
              <w:rPr>
                <w:sz w:val="20"/>
                <w:szCs w:val="20"/>
              </w:rPr>
            </w:pPr>
            <w:r w:rsidRPr="0026155E">
              <w:rPr>
                <w:sz w:val="20"/>
                <w:szCs w:val="20"/>
              </w:rPr>
              <w:t>W</w:t>
            </w:r>
            <w:r w:rsidR="009118F4" w:rsidRPr="0026155E">
              <w:rPr>
                <w:sz w:val="20"/>
                <w:szCs w:val="20"/>
              </w:rPr>
              <w:t>ork with the Chancellor’s Office and legislature to recognize individual students’ self-stated educational goals on their educational plans as valid parameters of completion, consistent with the established mission of the California community colleges.</w:t>
            </w:r>
          </w:p>
          <w:p w14:paraId="76CF6FDB" w14:textId="77777777" w:rsidR="00A3080C" w:rsidRPr="00053FC2" w:rsidRDefault="00A3080C" w:rsidP="007E68B3">
            <w:pPr>
              <w:widowControl w:val="0"/>
              <w:rPr>
                <w:b/>
                <w:u w:val="single"/>
              </w:rPr>
            </w:pPr>
          </w:p>
        </w:tc>
        <w:tc>
          <w:tcPr>
            <w:tcW w:w="1861" w:type="dxa"/>
            <w:gridSpan w:val="2"/>
          </w:tcPr>
          <w:p w14:paraId="0F0309F1" w14:textId="77777777" w:rsidR="00A3080C" w:rsidRPr="00053FC2" w:rsidRDefault="00A3080C" w:rsidP="0035494F">
            <w:pPr>
              <w:rPr>
                <w:b/>
                <w:u w:val="single"/>
              </w:rPr>
            </w:pPr>
          </w:p>
        </w:tc>
        <w:tc>
          <w:tcPr>
            <w:tcW w:w="2886" w:type="dxa"/>
          </w:tcPr>
          <w:p w14:paraId="02A10CE4" w14:textId="258C45B6" w:rsidR="00A3080C" w:rsidRPr="0078023B" w:rsidRDefault="0078023B" w:rsidP="0035494F">
            <w:pPr>
              <w:rPr>
                <w:sz w:val="20"/>
                <w:szCs w:val="20"/>
              </w:rPr>
            </w:pPr>
            <w:r w:rsidRPr="0078023B">
              <w:rPr>
                <w:color w:val="FF0000"/>
                <w:sz w:val="20"/>
                <w:szCs w:val="20"/>
              </w:rPr>
              <w:t>ASCCC Advisory</w:t>
            </w:r>
          </w:p>
        </w:tc>
      </w:tr>
      <w:tr w:rsidR="00A3080C" w14:paraId="25EF0001" w14:textId="77777777" w:rsidTr="00414C13">
        <w:tc>
          <w:tcPr>
            <w:tcW w:w="13860" w:type="dxa"/>
            <w:gridSpan w:val="9"/>
          </w:tcPr>
          <w:p w14:paraId="583C8CB6" w14:textId="77777777" w:rsidR="00A3080C" w:rsidRPr="00351727" w:rsidRDefault="00A3080C" w:rsidP="00A3080C">
            <w:pPr>
              <w:pStyle w:val="ListParagraph"/>
              <w:numPr>
                <w:ilvl w:val="0"/>
                <w:numId w:val="11"/>
              </w:numPr>
              <w:rPr>
                <w:rFonts w:ascii="Times New Roman" w:hAnsi="Times New Roman" w:cs="Times New Roman"/>
                <w:b/>
                <w:u w:val="single"/>
              </w:rPr>
            </w:pPr>
            <w:r w:rsidRPr="00351727">
              <w:rPr>
                <w:rFonts w:ascii="Times New Roman" w:hAnsi="Times New Roman" w:cs="Times New Roman"/>
              </w:rPr>
              <w:t>Report outcomes by student demographic characteristics.</w:t>
            </w:r>
          </w:p>
        </w:tc>
      </w:tr>
      <w:tr w:rsidR="00A3080C" w14:paraId="258A3B84" w14:textId="77777777" w:rsidTr="000D6D01">
        <w:tc>
          <w:tcPr>
            <w:tcW w:w="3330" w:type="dxa"/>
            <w:gridSpan w:val="2"/>
          </w:tcPr>
          <w:p w14:paraId="5CDFF0B1" w14:textId="5671E40B" w:rsidR="00A3080C" w:rsidRPr="004A7E6A" w:rsidRDefault="00633AA1" w:rsidP="0035494F">
            <w:pPr>
              <w:rPr>
                <w:color w:val="000000" w:themeColor="text1"/>
                <w:sz w:val="20"/>
                <w:szCs w:val="20"/>
              </w:rPr>
            </w:pPr>
            <w:r w:rsidRPr="004A7E6A">
              <w:rPr>
                <w:color w:val="000000" w:themeColor="text1"/>
                <w:sz w:val="20"/>
                <w:szCs w:val="20"/>
              </w:rPr>
              <w:t>Processes for program review</w:t>
            </w:r>
          </w:p>
        </w:tc>
        <w:tc>
          <w:tcPr>
            <w:tcW w:w="2633" w:type="dxa"/>
            <w:gridSpan w:val="2"/>
          </w:tcPr>
          <w:p w14:paraId="16219756" w14:textId="77777777" w:rsidR="00A3080C" w:rsidRPr="004A7E6A" w:rsidRDefault="00A3080C" w:rsidP="0035494F">
            <w:pPr>
              <w:rPr>
                <w:color w:val="000000" w:themeColor="text1"/>
                <w:sz w:val="20"/>
                <w:szCs w:val="20"/>
              </w:rPr>
            </w:pPr>
          </w:p>
        </w:tc>
        <w:tc>
          <w:tcPr>
            <w:tcW w:w="3150" w:type="dxa"/>
            <w:gridSpan w:val="2"/>
          </w:tcPr>
          <w:p w14:paraId="115B2558" w14:textId="77777777" w:rsidR="00A3080C" w:rsidRPr="004A7E6A" w:rsidRDefault="0078023B" w:rsidP="0078023B">
            <w:pPr>
              <w:rPr>
                <w:color w:val="000000" w:themeColor="text1"/>
                <w:sz w:val="20"/>
                <w:szCs w:val="20"/>
              </w:rPr>
            </w:pPr>
            <w:r w:rsidRPr="004A7E6A">
              <w:rPr>
                <w:color w:val="000000" w:themeColor="text1"/>
                <w:sz w:val="20"/>
                <w:szCs w:val="20"/>
              </w:rPr>
              <w:t xml:space="preserve">See 4a. </w:t>
            </w:r>
          </w:p>
          <w:p w14:paraId="21B77A56" w14:textId="77777777" w:rsidR="0078023B" w:rsidRPr="004A7E6A" w:rsidRDefault="0078023B" w:rsidP="0078023B">
            <w:pPr>
              <w:rPr>
                <w:color w:val="000000" w:themeColor="text1"/>
                <w:sz w:val="20"/>
                <w:szCs w:val="20"/>
              </w:rPr>
            </w:pPr>
          </w:p>
        </w:tc>
        <w:tc>
          <w:tcPr>
            <w:tcW w:w="1861" w:type="dxa"/>
            <w:gridSpan w:val="2"/>
          </w:tcPr>
          <w:p w14:paraId="16DD02A5" w14:textId="77777777" w:rsidR="00A3080C" w:rsidRPr="00053FC2" w:rsidRDefault="00A3080C" w:rsidP="0035494F">
            <w:pPr>
              <w:rPr>
                <w:b/>
                <w:u w:val="single"/>
              </w:rPr>
            </w:pPr>
          </w:p>
        </w:tc>
        <w:tc>
          <w:tcPr>
            <w:tcW w:w="2886" w:type="dxa"/>
          </w:tcPr>
          <w:p w14:paraId="37BB3FC5" w14:textId="5553B12F" w:rsidR="00A3080C" w:rsidRPr="00312A38" w:rsidRDefault="00312A38" w:rsidP="0035494F">
            <w:pPr>
              <w:rPr>
                <w:sz w:val="20"/>
                <w:szCs w:val="20"/>
              </w:rPr>
            </w:pPr>
            <w:r w:rsidRPr="00312A38">
              <w:rPr>
                <w:color w:val="FF0000"/>
                <w:sz w:val="20"/>
                <w:szCs w:val="20"/>
              </w:rPr>
              <w:t>ASCCC Advisory role</w:t>
            </w:r>
          </w:p>
        </w:tc>
      </w:tr>
      <w:tr w:rsidR="004B7F8C" w14:paraId="54B36A97" w14:textId="77777777" w:rsidTr="00414C13">
        <w:tc>
          <w:tcPr>
            <w:tcW w:w="13860" w:type="dxa"/>
            <w:gridSpan w:val="9"/>
          </w:tcPr>
          <w:p w14:paraId="4319ED5A" w14:textId="70B46CB8" w:rsidR="004B7F8C" w:rsidRPr="00351727" w:rsidRDefault="004B7F8C" w:rsidP="004B7F8C">
            <w:pPr>
              <w:pStyle w:val="ListParagraph"/>
              <w:numPr>
                <w:ilvl w:val="0"/>
                <w:numId w:val="3"/>
              </w:numPr>
              <w:rPr>
                <w:rFonts w:ascii="Times New Roman" w:hAnsi="Times New Roman" w:cs="Times New Roman"/>
                <w:b/>
              </w:rPr>
            </w:pPr>
            <w:r w:rsidRPr="00351727">
              <w:rPr>
                <w:rFonts w:ascii="Times New Roman" w:hAnsi="Times New Roman" w:cs="Times New Roman"/>
                <w:b/>
              </w:rPr>
              <w:t xml:space="preserve">Establish a student identifier for high school students and those enrolled in postsecondary education and training programs to enable California to track workforce progress and outcomes for students across institutions and programs. </w:t>
            </w:r>
          </w:p>
        </w:tc>
      </w:tr>
      <w:tr w:rsidR="00A3080C" w14:paraId="461EF7A8" w14:textId="77777777" w:rsidTr="00414C13">
        <w:tc>
          <w:tcPr>
            <w:tcW w:w="13860" w:type="dxa"/>
            <w:gridSpan w:val="9"/>
          </w:tcPr>
          <w:p w14:paraId="020CF4FB" w14:textId="77777777" w:rsidR="00A3080C" w:rsidRPr="00351727" w:rsidRDefault="00A3080C" w:rsidP="00A3080C">
            <w:pPr>
              <w:pStyle w:val="ListParagraph"/>
              <w:numPr>
                <w:ilvl w:val="0"/>
                <w:numId w:val="12"/>
              </w:numPr>
              <w:rPr>
                <w:rFonts w:ascii="Times New Roman" w:hAnsi="Times New Roman" w:cs="Times New Roman"/>
                <w:b/>
                <w:u w:val="single"/>
              </w:rPr>
            </w:pPr>
            <w:r w:rsidRPr="00351727">
              <w:rPr>
                <w:rFonts w:ascii="Times New Roman" w:hAnsi="Times New Roman" w:cs="Times New Roman"/>
              </w:rPr>
              <w:t>Require the sharing of employment/wage outcomes and third party licenses/certification data across government entities.</w:t>
            </w:r>
          </w:p>
        </w:tc>
      </w:tr>
      <w:tr w:rsidR="004B7F8C" w14:paraId="219548F4" w14:textId="77777777" w:rsidTr="000D6D01">
        <w:tc>
          <w:tcPr>
            <w:tcW w:w="3330" w:type="dxa"/>
            <w:gridSpan w:val="2"/>
          </w:tcPr>
          <w:p w14:paraId="2D0FC3E6" w14:textId="77777777" w:rsidR="004B7F8C" w:rsidRPr="00351727" w:rsidRDefault="004B7F8C" w:rsidP="0035494F">
            <w:pPr>
              <w:rPr>
                <w:b/>
                <w:u w:val="single"/>
              </w:rPr>
            </w:pPr>
          </w:p>
        </w:tc>
        <w:tc>
          <w:tcPr>
            <w:tcW w:w="2633" w:type="dxa"/>
            <w:gridSpan w:val="2"/>
          </w:tcPr>
          <w:p w14:paraId="50DB0D32" w14:textId="77777777" w:rsidR="004B7F8C" w:rsidRPr="00351727" w:rsidRDefault="004B7F8C" w:rsidP="0035494F">
            <w:pPr>
              <w:rPr>
                <w:b/>
                <w:u w:val="single"/>
              </w:rPr>
            </w:pPr>
          </w:p>
        </w:tc>
        <w:tc>
          <w:tcPr>
            <w:tcW w:w="3150" w:type="dxa"/>
            <w:gridSpan w:val="2"/>
          </w:tcPr>
          <w:p w14:paraId="7E960B4E" w14:textId="77777777" w:rsidR="004B7F8C" w:rsidRPr="00351727" w:rsidRDefault="004B7F8C" w:rsidP="0035494F">
            <w:pPr>
              <w:rPr>
                <w:b/>
                <w:u w:val="single"/>
              </w:rPr>
            </w:pPr>
          </w:p>
        </w:tc>
        <w:tc>
          <w:tcPr>
            <w:tcW w:w="1861" w:type="dxa"/>
            <w:gridSpan w:val="2"/>
          </w:tcPr>
          <w:p w14:paraId="5D3CAEDD" w14:textId="77777777" w:rsidR="004B7F8C" w:rsidRPr="00053FC2" w:rsidRDefault="004B7F8C" w:rsidP="0035494F">
            <w:pPr>
              <w:rPr>
                <w:b/>
                <w:u w:val="single"/>
              </w:rPr>
            </w:pPr>
          </w:p>
        </w:tc>
        <w:tc>
          <w:tcPr>
            <w:tcW w:w="2886" w:type="dxa"/>
          </w:tcPr>
          <w:p w14:paraId="7C0D341D" w14:textId="3F5690A4" w:rsidR="004B7F8C" w:rsidRPr="00053FC2" w:rsidRDefault="00312A38" w:rsidP="0035494F">
            <w:pPr>
              <w:rPr>
                <w:b/>
                <w:u w:val="single"/>
              </w:rPr>
            </w:pPr>
            <w:r w:rsidRPr="00312A38">
              <w:rPr>
                <w:color w:val="FF0000"/>
                <w:sz w:val="20"/>
                <w:szCs w:val="20"/>
              </w:rPr>
              <w:t>ASCCC Advisory role</w:t>
            </w:r>
          </w:p>
        </w:tc>
      </w:tr>
      <w:tr w:rsidR="00A3080C" w14:paraId="1AB6F231" w14:textId="77777777" w:rsidTr="00414C13">
        <w:tc>
          <w:tcPr>
            <w:tcW w:w="13860" w:type="dxa"/>
            <w:gridSpan w:val="9"/>
          </w:tcPr>
          <w:p w14:paraId="771C7B66" w14:textId="77777777" w:rsidR="00A3080C" w:rsidRPr="00351727" w:rsidRDefault="00A3080C" w:rsidP="00A3080C">
            <w:pPr>
              <w:pStyle w:val="ListParagraph"/>
              <w:numPr>
                <w:ilvl w:val="0"/>
                <w:numId w:val="12"/>
              </w:numPr>
              <w:rPr>
                <w:rFonts w:ascii="Times New Roman" w:hAnsi="Times New Roman" w:cs="Times New Roman"/>
                <w:b/>
                <w:u w:val="single"/>
              </w:rPr>
            </w:pPr>
            <w:r w:rsidRPr="00351727">
              <w:rPr>
                <w:rFonts w:ascii="Times New Roman" w:hAnsi="Times New Roman" w:cs="Times New Roman"/>
              </w:rPr>
              <w:t>Explore barriers, both real and perceived, to sharing data and create new incentives for the timely sharing of data.</w:t>
            </w:r>
          </w:p>
        </w:tc>
      </w:tr>
      <w:tr w:rsidR="00A3080C" w14:paraId="29854066" w14:textId="77777777" w:rsidTr="000D6D01">
        <w:tc>
          <w:tcPr>
            <w:tcW w:w="3330" w:type="dxa"/>
            <w:gridSpan w:val="2"/>
          </w:tcPr>
          <w:p w14:paraId="7775F845" w14:textId="77777777" w:rsidR="00A3080C" w:rsidRPr="00351727" w:rsidRDefault="00A3080C" w:rsidP="0035494F">
            <w:pPr>
              <w:rPr>
                <w:b/>
                <w:u w:val="single"/>
              </w:rPr>
            </w:pPr>
          </w:p>
        </w:tc>
        <w:tc>
          <w:tcPr>
            <w:tcW w:w="2633" w:type="dxa"/>
            <w:gridSpan w:val="2"/>
          </w:tcPr>
          <w:p w14:paraId="03C2714C" w14:textId="77777777" w:rsidR="00A3080C" w:rsidRPr="00351727" w:rsidRDefault="00A3080C" w:rsidP="0035494F">
            <w:pPr>
              <w:rPr>
                <w:b/>
                <w:u w:val="single"/>
              </w:rPr>
            </w:pPr>
          </w:p>
        </w:tc>
        <w:tc>
          <w:tcPr>
            <w:tcW w:w="3150" w:type="dxa"/>
            <w:gridSpan w:val="2"/>
          </w:tcPr>
          <w:p w14:paraId="55811865" w14:textId="77777777" w:rsidR="00A3080C" w:rsidRPr="00351727" w:rsidRDefault="00A3080C" w:rsidP="0035494F">
            <w:pPr>
              <w:rPr>
                <w:b/>
                <w:u w:val="single"/>
              </w:rPr>
            </w:pPr>
          </w:p>
        </w:tc>
        <w:tc>
          <w:tcPr>
            <w:tcW w:w="1861" w:type="dxa"/>
            <w:gridSpan w:val="2"/>
          </w:tcPr>
          <w:p w14:paraId="5491C5D7" w14:textId="77777777" w:rsidR="00A3080C" w:rsidRPr="00053FC2" w:rsidRDefault="00A3080C" w:rsidP="0035494F">
            <w:pPr>
              <w:rPr>
                <w:b/>
                <w:u w:val="single"/>
              </w:rPr>
            </w:pPr>
          </w:p>
        </w:tc>
        <w:tc>
          <w:tcPr>
            <w:tcW w:w="2886" w:type="dxa"/>
          </w:tcPr>
          <w:p w14:paraId="775F9933" w14:textId="76F7C55B" w:rsidR="00A3080C" w:rsidRPr="00053FC2" w:rsidRDefault="00312A38" w:rsidP="0035494F">
            <w:pPr>
              <w:rPr>
                <w:b/>
                <w:u w:val="single"/>
              </w:rPr>
            </w:pPr>
            <w:r w:rsidRPr="00312A38">
              <w:rPr>
                <w:color w:val="FF0000"/>
                <w:sz w:val="20"/>
                <w:szCs w:val="20"/>
              </w:rPr>
              <w:t>ASCCC Advisory role</w:t>
            </w:r>
          </w:p>
        </w:tc>
      </w:tr>
      <w:tr w:rsidR="00A3080C" w14:paraId="5B0DBFF7" w14:textId="77777777" w:rsidTr="00414C13">
        <w:tc>
          <w:tcPr>
            <w:tcW w:w="13860" w:type="dxa"/>
            <w:gridSpan w:val="9"/>
          </w:tcPr>
          <w:p w14:paraId="78046118" w14:textId="77777777" w:rsidR="00A3080C" w:rsidRPr="00351727" w:rsidRDefault="00A3080C" w:rsidP="00A3080C">
            <w:pPr>
              <w:pStyle w:val="ListParagraph"/>
              <w:numPr>
                <w:ilvl w:val="0"/>
                <w:numId w:val="12"/>
              </w:numPr>
              <w:rPr>
                <w:rFonts w:ascii="Times New Roman" w:hAnsi="Times New Roman" w:cs="Times New Roman"/>
                <w:b/>
                <w:u w:val="single"/>
              </w:rPr>
            </w:pPr>
            <w:r w:rsidRPr="00351727">
              <w:rPr>
                <w:rFonts w:ascii="Times New Roman" w:hAnsi="Times New Roman" w:cs="Times New Roman"/>
              </w:rPr>
              <w:t>Ensure data sharing activities are for the purpose of continuous program improvement, while also protecting privacy rights.</w:t>
            </w:r>
          </w:p>
        </w:tc>
      </w:tr>
      <w:tr w:rsidR="00A3080C" w14:paraId="33A544DA" w14:textId="77777777" w:rsidTr="000D6D01">
        <w:tc>
          <w:tcPr>
            <w:tcW w:w="3330" w:type="dxa"/>
            <w:gridSpan w:val="2"/>
          </w:tcPr>
          <w:p w14:paraId="398A5673" w14:textId="77777777" w:rsidR="00A3080C" w:rsidRPr="00351727" w:rsidRDefault="00A3080C" w:rsidP="0035494F">
            <w:pPr>
              <w:rPr>
                <w:b/>
                <w:u w:val="single"/>
              </w:rPr>
            </w:pPr>
          </w:p>
        </w:tc>
        <w:tc>
          <w:tcPr>
            <w:tcW w:w="2633" w:type="dxa"/>
            <w:gridSpan w:val="2"/>
          </w:tcPr>
          <w:p w14:paraId="0B234CF4" w14:textId="77777777" w:rsidR="00A3080C" w:rsidRPr="00351727" w:rsidRDefault="00A3080C" w:rsidP="0035494F">
            <w:pPr>
              <w:rPr>
                <w:b/>
                <w:u w:val="single"/>
              </w:rPr>
            </w:pPr>
          </w:p>
        </w:tc>
        <w:tc>
          <w:tcPr>
            <w:tcW w:w="3150" w:type="dxa"/>
            <w:gridSpan w:val="2"/>
          </w:tcPr>
          <w:p w14:paraId="644BD194" w14:textId="77777777" w:rsidR="00A3080C" w:rsidRPr="00351727" w:rsidRDefault="00A3080C" w:rsidP="0035494F">
            <w:pPr>
              <w:rPr>
                <w:b/>
                <w:u w:val="single"/>
              </w:rPr>
            </w:pPr>
          </w:p>
        </w:tc>
        <w:tc>
          <w:tcPr>
            <w:tcW w:w="1861" w:type="dxa"/>
            <w:gridSpan w:val="2"/>
          </w:tcPr>
          <w:p w14:paraId="4BB409A9" w14:textId="77777777" w:rsidR="00A3080C" w:rsidRPr="00053FC2" w:rsidRDefault="00A3080C" w:rsidP="0035494F">
            <w:pPr>
              <w:rPr>
                <w:b/>
                <w:u w:val="single"/>
              </w:rPr>
            </w:pPr>
          </w:p>
        </w:tc>
        <w:tc>
          <w:tcPr>
            <w:tcW w:w="2886" w:type="dxa"/>
          </w:tcPr>
          <w:p w14:paraId="54E36BA4" w14:textId="1A5B35D6" w:rsidR="00A3080C" w:rsidRPr="00053FC2" w:rsidRDefault="00312A38" w:rsidP="0035494F">
            <w:pPr>
              <w:rPr>
                <w:b/>
                <w:u w:val="single"/>
              </w:rPr>
            </w:pPr>
            <w:r w:rsidRPr="00312A38">
              <w:rPr>
                <w:color w:val="FF0000"/>
                <w:sz w:val="20"/>
                <w:szCs w:val="20"/>
              </w:rPr>
              <w:t>ASCCC Advisory role</w:t>
            </w:r>
          </w:p>
        </w:tc>
      </w:tr>
      <w:tr w:rsidR="004B7F8C" w14:paraId="0515C4EF" w14:textId="77777777" w:rsidTr="00414C13">
        <w:tc>
          <w:tcPr>
            <w:tcW w:w="13860" w:type="dxa"/>
            <w:gridSpan w:val="9"/>
          </w:tcPr>
          <w:p w14:paraId="664F239A" w14:textId="77777777" w:rsidR="004B7F8C" w:rsidRPr="00351727" w:rsidRDefault="004B7F8C" w:rsidP="004B7F8C">
            <w:pPr>
              <w:pStyle w:val="ListParagraph"/>
              <w:numPr>
                <w:ilvl w:val="0"/>
                <w:numId w:val="3"/>
              </w:numPr>
              <w:rPr>
                <w:rFonts w:ascii="Times New Roman" w:hAnsi="Times New Roman" w:cs="Times New Roman"/>
                <w:b/>
              </w:rPr>
            </w:pPr>
            <w:r w:rsidRPr="00351727">
              <w:rPr>
                <w:rFonts w:ascii="Times New Roman" w:hAnsi="Times New Roman" w:cs="Times New Roman"/>
                <w:b/>
              </w:rPr>
              <w:t xml:space="preserve">Improve the quality, accessibility, and utility of student outcome and labor market data to support students, educators, colleges, regions, employers, local workforce investment boards, and the state in CTE program development and improvement efforts. </w:t>
            </w:r>
          </w:p>
        </w:tc>
      </w:tr>
      <w:tr w:rsidR="00DF413E" w14:paraId="7971C6C8" w14:textId="77777777" w:rsidTr="00414C13">
        <w:tc>
          <w:tcPr>
            <w:tcW w:w="13860" w:type="dxa"/>
            <w:gridSpan w:val="9"/>
          </w:tcPr>
          <w:p w14:paraId="2F30AD36" w14:textId="77777777" w:rsidR="00DF413E" w:rsidRPr="00351727" w:rsidRDefault="00DF413E" w:rsidP="00DF413E">
            <w:pPr>
              <w:pStyle w:val="ListParagraph"/>
              <w:numPr>
                <w:ilvl w:val="0"/>
                <w:numId w:val="13"/>
              </w:numPr>
              <w:rPr>
                <w:rFonts w:ascii="Times New Roman" w:hAnsi="Times New Roman" w:cs="Times New Roman"/>
                <w:b/>
                <w:u w:val="single"/>
              </w:rPr>
            </w:pPr>
            <w:r w:rsidRPr="00351727">
              <w:rPr>
                <w:rFonts w:ascii="Times New Roman" w:hAnsi="Times New Roman" w:cs="Times New Roman"/>
              </w:rPr>
              <w:t>Provide labor market, workforce outcome, and student demographic data/information that are easily accessible and usable.</w:t>
            </w:r>
          </w:p>
        </w:tc>
      </w:tr>
      <w:tr w:rsidR="00DF413E" w14:paraId="5EDFED78" w14:textId="77777777" w:rsidTr="000D6D01">
        <w:tc>
          <w:tcPr>
            <w:tcW w:w="3330" w:type="dxa"/>
            <w:gridSpan w:val="2"/>
          </w:tcPr>
          <w:p w14:paraId="1CE3E284" w14:textId="77777777" w:rsidR="00DF413E" w:rsidRPr="00351727" w:rsidRDefault="00DF413E" w:rsidP="0035494F">
            <w:pPr>
              <w:rPr>
                <w:b/>
                <w:u w:val="single"/>
              </w:rPr>
            </w:pPr>
          </w:p>
        </w:tc>
        <w:tc>
          <w:tcPr>
            <w:tcW w:w="2633" w:type="dxa"/>
            <w:gridSpan w:val="2"/>
          </w:tcPr>
          <w:p w14:paraId="6D759F2B" w14:textId="77777777" w:rsidR="00DF413E" w:rsidRPr="00351727" w:rsidRDefault="00DF413E" w:rsidP="0035494F">
            <w:pPr>
              <w:rPr>
                <w:b/>
                <w:u w:val="single"/>
              </w:rPr>
            </w:pPr>
          </w:p>
        </w:tc>
        <w:tc>
          <w:tcPr>
            <w:tcW w:w="3150" w:type="dxa"/>
            <w:gridSpan w:val="2"/>
          </w:tcPr>
          <w:p w14:paraId="54681DD2" w14:textId="77777777" w:rsidR="00DF413E" w:rsidRPr="00351727" w:rsidRDefault="00DF413E" w:rsidP="0035494F">
            <w:pPr>
              <w:rPr>
                <w:b/>
                <w:u w:val="single"/>
              </w:rPr>
            </w:pPr>
          </w:p>
        </w:tc>
        <w:tc>
          <w:tcPr>
            <w:tcW w:w="1861" w:type="dxa"/>
            <w:gridSpan w:val="2"/>
          </w:tcPr>
          <w:p w14:paraId="394CDC07" w14:textId="77777777" w:rsidR="00DF413E" w:rsidRPr="00053FC2" w:rsidRDefault="00DF413E" w:rsidP="0035494F">
            <w:pPr>
              <w:rPr>
                <w:b/>
                <w:u w:val="single"/>
              </w:rPr>
            </w:pPr>
          </w:p>
        </w:tc>
        <w:tc>
          <w:tcPr>
            <w:tcW w:w="2886" w:type="dxa"/>
          </w:tcPr>
          <w:p w14:paraId="54A1D11B" w14:textId="32D1AC0A" w:rsidR="00DF413E" w:rsidRPr="00053FC2" w:rsidRDefault="003047F8" w:rsidP="0035494F">
            <w:pPr>
              <w:rPr>
                <w:b/>
                <w:u w:val="single"/>
              </w:rPr>
            </w:pPr>
            <w:r w:rsidRPr="00312A38">
              <w:rPr>
                <w:color w:val="FF0000"/>
                <w:sz w:val="20"/>
                <w:szCs w:val="20"/>
              </w:rPr>
              <w:t>ASCCC Advisory role</w:t>
            </w:r>
          </w:p>
        </w:tc>
      </w:tr>
      <w:tr w:rsidR="00DF413E" w14:paraId="30679412" w14:textId="77777777" w:rsidTr="00414C13">
        <w:tc>
          <w:tcPr>
            <w:tcW w:w="13860" w:type="dxa"/>
            <w:gridSpan w:val="9"/>
          </w:tcPr>
          <w:p w14:paraId="4FA60DAD" w14:textId="77777777" w:rsidR="00DF413E" w:rsidRPr="00351727" w:rsidRDefault="00DF413E" w:rsidP="00DF413E">
            <w:pPr>
              <w:pStyle w:val="ListParagraph"/>
              <w:numPr>
                <w:ilvl w:val="0"/>
                <w:numId w:val="13"/>
              </w:numPr>
              <w:rPr>
                <w:rFonts w:ascii="Times New Roman" w:hAnsi="Times New Roman" w:cs="Times New Roman"/>
                <w:b/>
                <w:u w:val="single"/>
              </w:rPr>
            </w:pPr>
            <w:r w:rsidRPr="00351727">
              <w:rPr>
                <w:rFonts w:ascii="Times New Roman" w:hAnsi="Times New Roman" w:cs="Times New Roman"/>
              </w:rPr>
              <w:t>Validate labor market supply and demand information with industry partners.</w:t>
            </w:r>
          </w:p>
        </w:tc>
      </w:tr>
      <w:tr w:rsidR="00DF413E" w14:paraId="5A29AA72" w14:textId="77777777" w:rsidTr="000D6D01">
        <w:tc>
          <w:tcPr>
            <w:tcW w:w="3330" w:type="dxa"/>
            <w:gridSpan w:val="2"/>
          </w:tcPr>
          <w:p w14:paraId="10A83170" w14:textId="77777777" w:rsidR="00DF413E" w:rsidRPr="00351727" w:rsidRDefault="00DF413E" w:rsidP="0035494F">
            <w:pPr>
              <w:rPr>
                <w:b/>
                <w:u w:val="single"/>
              </w:rPr>
            </w:pPr>
          </w:p>
        </w:tc>
        <w:tc>
          <w:tcPr>
            <w:tcW w:w="2633" w:type="dxa"/>
            <w:gridSpan w:val="2"/>
          </w:tcPr>
          <w:p w14:paraId="1F7D4053" w14:textId="77777777" w:rsidR="00DF413E" w:rsidRPr="00351727" w:rsidRDefault="00DF413E" w:rsidP="0035494F">
            <w:pPr>
              <w:rPr>
                <w:b/>
                <w:u w:val="single"/>
              </w:rPr>
            </w:pPr>
          </w:p>
        </w:tc>
        <w:tc>
          <w:tcPr>
            <w:tcW w:w="3150" w:type="dxa"/>
            <w:gridSpan w:val="2"/>
          </w:tcPr>
          <w:p w14:paraId="23197131" w14:textId="77777777" w:rsidR="00DF413E" w:rsidRPr="00351727" w:rsidRDefault="00DF413E" w:rsidP="0035494F">
            <w:pPr>
              <w:rPr>
                <w:b/>
                <w:u w:val="single"/>
              </w:rPr>
            </w:pPr>
          </w:p>
        </w:tc>
        <w:tc>
          <w:tcPr>
            <w:tcW w:w="1861" w:type="dxa"/>
            <w:gridSpan w:val="2"/>
          </w:tcPr>
          <w:p w14:paraId="221831C1" w14:textId="77777777" w:rsidR="00DF413E" w:rsidRPr="00053FC2" w:rsidRDefault="00DF413E" w:rsidP="0035494F">
            <w:pPr>
              <w:rPr>
                <w:b/>
                <w:u w:val="single"/>
              </w:rPr>
            </w:pPr>
          </w:p>
        </w:tc>
        <w:tc>
          <w:tcPr>
            <w:tcW w:w="2886" w:type="dxa"/>
          </w:tcPr>
          <w:p w14:paraId="1539817F" w14:textId="30C1C4C4" w:rsidR="00DF413E" w:rsidRPr="00053FC2" w:rsidRDefault="003047F8" w:rsidP="0035494F">
            <w:pPr>
              <w:rPr>
                <w:b/>
                <w:u w:val="single"/>
              </w:rPr>
            </w:pPr>
            <w:r w:rsidRPr="00312A38">
              <w:rPr>
                <w:color w:val="FF0000"/>
                <w:sz w:val="20"/>
                <w:szCs w:val="20"/>
              </w:rPr>
              <w:t>ASCCC Advisory role</w:t>
            </w:r>
          </w:p>
        </w:tc>
      </w:tr>
      <w:tr w:rsidR="00DF413E" w14:paraId="49C2BB1F" w14:textId="77777777" w:rsidTr="00414C13">
        <w:tc>
          <w:tcPr>
            <w:tcW w:w="13860" w:type="dxa"/>
            <w:gridSpan w:val="9"/>
          </w:tcPr>
          <w:p w14:paraId="0B7CB1EE" w14:textId="77777777" w:rsidR="00DF413E" w:rsidRPr="00351727" w:rsidRDefault="00DF413E" w:rsidP="00DF413E">
            <w:pPr>
              <w:pStyle w:val="ListParagraph"/>
              <w:numPr>
                <w:ilvl w:val="0"/>
                <w:numId w:val="13"/>
              </w:numPr>
              <w:rPr>
                <w:rFonts w:ascii="Times New Roman" w:hAnsi="Times New Roman" w:cs="Times New Roman"/>
                <w:b/>
                <w:u w:val="single"/>
              </w:rPr>
            </w:pPr>
            <w:r w:rsidRPr="00351727">
              <w:rPr>
                <w:rFonts w:ascii="Times New Roman" w:hAnsi="Times New Roman" w:cs="Times New Roman"/>
              </w:rPr>
              <w:t>Provide technical assistance, data visualization tools, and analysis tools to colleges for the use of labor market and student outcome data.</w:t>
            </w:r>
          </w:p>
        </w:tc>
      </w:tr>
      <w:tr w:rsidR="00DF413E" w14:paraId="72EADB0B" w14:textId="77777777" w:rsidTr="000D6D01">
        <w:tc>
          <w:tcPr>
            <w:tcW w:w="3330" w:type="dxa"/>
            <w:gridSpan w:val="2"/>
          </w:tcPr>
          <w:p w14:paraId="4E916EED" w14:textId="77777777" w:rsidR="00DF413E" w:rsidRPr="00351727" w:rsidRDefault="00DF413E" w:rsidP="0035494F">
            <w:pPr>
              <w:rPr>
                <w:b/>
                <w:u w:val="single"/>
              </w:rPr>
            </w:pPr>
          </w:p>
        </w:tc>
        <w:tc>
          <w:tcPr>
            <w:tcW w:w="2633" w:type="dxa"/>
            <w:gridSpan w:val="2"/>
          </w:tcPr>
          <w:p w14:paraId="3C594BB2" w14:textId="77777777" w:rsidR="00DF413E" w:rsidRPr="00351727" w:rsidRDefault="00DF413E" w:rsidP="0035494F">
            <w:pPr>
              <w:rPr>
                <w:b/>
                <w:u w:val="single"/>
              </w:rPr>
            </w:pPr>
          </w:p>
        </w:tc>
        <w:tc>
          <w:tcPr>
            <w:tcW w:w="3150" w:type="dxa"/>
            <w:gridSpan w:val="2"/>
          </w:tcPr>
          <w:p w14:paraId="77FE11BE" w14:textId="4969C8C9" w:rsidR="00DF413E" w:rsidRPr="00351727" w:rsidRDefault="003047F8" w:rsidP="0035494F">
            <w:pPr>
              <w:rPr>
                <w:sz w:val="20"/>
                <w:szCs w:val="20"/>
              </w:rPr>
            </w:pPr>
            <w:r w:rsidRPr="00351727">
              <w:rPr>
                <w:sz w:val="20"/>
                <w:szCs w:val="20"/>
              </w:rPr>
              <w:t xml:space="preserve">There is a current proposal to join other groups on expanding Launchboard to all 113 </w:t>
            </w:r>
            <w:r w:rsidR="00C3674A" w:rsidRPr="00351727">
              <w:rPr>
                <w:sz w:val="20"/>
                <w:szCs w:val="20"/>
              </w:rPr>
              <w:t>colleges</w:t>
            </w:r>
            <w:r w:rsidRPr="00351727">
              <w:rPr>
                <w:sz w:val="20"/>
                <w:szCs w:val="20"/>
              </w:rPr>
              <w:t xml:space="preserve">.  The Executive Committee will be consider participating on this project at its January meeting.  </w:t>
            </w:r>
          </w:p>
          <w:p w14:paraId="48B9BE16" w14:textId="4B904042" w:rsidR="003047F8" w:rsidRPr="00351727" w:rsidRDefault="003047F8" w:rsidP="0035494F"/>
        </w:tc>
        <w:tc>
          <w:tcPr>
            <w:tcW w:w="1861" w:type="dxa"/>
            <w:gridSpan w:val="2"/>
          </w:tcPr>
          <w:p w14:paraId="18BE2457" w14:textId="77777777" w:rsidR="00DF413E" w:rsidRPr="00053FC2" w:rsidRDefault="00DF413E" w:rsidP="0035494F">
            <w:pPr>
              <w:rPr>
                <w:b/>
                <w:u w:val="single"/>
              </w:rPr>
            </w:pPr>
          </w:p>
        </w:tc>
        <w:tc>
          <w:tcPr>
            <w:tcW w:w="2886" w:type="dxa"/>
          </w:tcPr>
          <w:p w14:paraId="5184E8FC" w14:textId="14A65179" w:rsidR="00DF413E" w:rsidRPr="00053FC2" w:rsidRDefault="003047F8" w:rsidP="0035494F">
            <w:pPr>
              <w:rPr>
                <w:b/>
                <w:u w:val="single"/>
              </w:rPr>
            </w:pPr>
            <w:r w:rsidRPr="00312A38">
              <w:rPr>
                <w:color w:val="FF0000"/>
                <w:sz w:val="20"/>
                <w:szCs w:val="20"/>
              </w:rPr>
              <w:t>ASCCC Advisory role</w:t>
            </w:r>
          </w:p>
        </w:tc>
      </w:tr>
      <w:tr w:rsidR="00DF413E" w14:paraId="1D84A9B2" w14:textId="77777777" w:rsidTr="00414C13">
        <w:tc>
          <w:tcPr>
            <w:tcW w:w="13860" w:type="dxa"/>
            <w:gridSpan w:val="9"/>
          </w:tcPr>
          <w:p w14:paraId="36E22A7C" w14:textId="68FBAA32" w:rsidR="00DF413E" w:rsidRPr="00351727" w:rsidRDefault="00DF413E" w:rsidP="00DF413E">
            <w:pPr>
              <w:pStyle w:val="ListParagraph"/>
              <w:numPr>
                <w:ilvl w:val="0"/>
                <w:numId w:val="13"/>
              </w:numPr>
              <w:rPr>
                <w:rFonts w:ascii="Times New Roman" w:hAnsi="Times New Roman" w:cs="Times New Roman"/>
                <w:b/>
                <w:u w:val="single"/>
              </w:rPr>
            </w:pPr>
            <w:r w:rsidRPr="00351727">
              <w:rPr>
                <w:rFonts w:ascii="Times New Roman" w:hAnsi="Times New Roman" w:cs="Times New Roman"/>
              </w:rPr>
              <w:t>Develop the state’s capacity to capture changes and gaps in workforce supply and demand and to assess each region’s educational capacity to address workforce gaps.</w:t>
            </w:r>
          </w:p>
        </w:tc>
      </w:tr>
      <w:tr w:rsidR="00DF413E" w14:paraId="7FA7AFBB" w14:textId="77777777" w:rsidTr="000D6D01">
        <w:tc>
          <w:tcPr>
            <w:tcW w:w="3330" w:type="dxa"/>
            <w:gridSpan w:val="2"/>
          </w:tcPr>
          <w:p w14:paraId="056ED28E" w14:textId="77777777" w:rsidR="00DF413E" w:rsidRPr="00351727" w:rsidRDefault="00DF413E" w:rsidP="0035494F">
            <w:pPr>
              <w:rPr>
                <w:b/>
                <w:u w:val="single"/>
              </w:rPr>
            </w:pPr>
          </w:p>
        </w:tc>
        <w:tc>
          <w:tcPr>
            <w:tcW w:w="2633" w:type="dxa"/>
            <w:gridSpan w:val="2"/>
          </w:tcPr>
          <w:p w14:paraId="0790509B" w14:textId="77777777" w:rsidR="00DF413E" w:rsidRPr="00351727" w:rsidRDefault="00DF413E" w:rsidP="0035494F">
            <w:pPr>
              <w:rPr>
                <w:b/>
                <w:u w:val="single"/>
              </w:rPr>
            </w:pPr>
          </w:p>
        </w:tc>
        <w:tc>
          <w:tcPr>
            <w:tcW w:w="3150" w:type="dxa"/>
            <w:gridSpan w:val="2"/>
          </w:tcPr>
          <w:p w14:paraId="4670F491" w14:textId="77777777" w:rsidR="00DF413E" w:rsidRPr="00351727" w:rsidRDefault="00DF413E" w:rsidP="0035494F">
            <w:pPr>
              <w:rPr>
                <w:b/>
                <w:u w:val="single"/>
              </w:rPr>
            </w:pPr>
          </w:p>
        </w:tc>
        <w:tc>
          <w:tcPr>
            <w:tcW w:w="1861" w:type="dxa"/>
            <w:gridSpan w:val="2"/>
          </w:tcPr>
          <w:p w14:paraId="76634998" w14:textId="77777777" w:rsidR="00DF413E" w:rsidRPr="00053FC2" w:rsidRDefault="00DF413E" w:rsidP="0035494F">
            <w:pPr>
              <w:rPr>
                <w:b/>
                <w:u w:val="single"/>
              </w:rPr>
            </w:pPr>
          </w:p>
        </w:tc>
        <w:tc>
          <w:tcPr>
            <w:tcW w:w="2886" w:type="dxa"/>
          </w:tcPr>
          <w:p w14:paraId="5A0B5423" w14:textId="19BD29E4" w:rsidR="00DF413E" w:rsidRPr="00053FC2" w:rsidRDefault="003047F8" w:rsidP="0035494F">
            <w:pPr>
              <w:rPr>
                <w:b/>
                <w:u w:val="single"/>
              </w:rPr>
            </w:pPr>
            <w:r w:rsidRPr="00312A38">
              <w:rPr>
                <w:color w:val="FF0000"/>
                <w:sz w:val="20"/>
                <w:szCs w:val="20"/>
              </w:rPr>
              <w:t>ASCCC Advisory role</w:t>
            </w:r>
          </w:p>
        </w:tc>
      </w:tr>
      <w:tr w:rsidR="004B7F8C" w14:paraId="295F3287" w14:textId="77777777" w:rsidTr="00DF413E">
        <w:tc>
          <w:tcPr>
            <w:tcW w:w="13860" w:type="dxa"/>
            <w:gridSpan w:val="9"/>
            <w:shd w:val="clear" w:color="auto" w:fill="BFBFBF" w:themeFill="background1" w:themeFillShade="BF"/>
          </w:tcPr>
          <w:p w14:paraId="5F0DA426" w14:textId="77777777" w:rsidR="004B7F8C" w:rsidRPr="00351727" w:rsidRDefault="00597D61" w:rsidP="004B7F8C">
            <w:pPr>
              <w:jc w:val="center"/>
              <w:rPr>
                <w:b/>
              </w:rPr>
            </w:pPr>
            <w:r w:rsidRPr="00351727">
              <w:br w:type="page"/>
            </w:r>
            <w:r w:rsidR="004B7F8C" w:rsidRPr="00351727">
              <w:rPr>
                <w:b/>
              </w:rPr>
              <w:t>CURRICULUM</w:t>
            </w:r>
          </w:p>
        </w:tc>
      </w:tr>
      <w:tr w:rsidR="004B7F8C" w14:paraId="6E4C72DF" w14:textId="77777777" w:rsidTr="00414C13">
        <w:tc>
          <w:tcPr>
            <w:tcW w:w="13860" w:type="dxa"/>
            <w:gridSpan w:val="9"/>
          </w:tcPr>
          <w:p w14:paraId="44222E06" w14:textId="77777777" w:rsidR="004B7F8C" w:rsidRPr="00351727" w:rsidRDefault="004B7F8C" w:rsidP="004B7F8C">
            <w:pPr>
              <w:pStyle w:val="ListParagraph"/>
              <w:numPr>
                <w:ilvl w:val="0"/>
                <w:numId w:val="3"/>
              </w:numPr>
              <w:rPr>
                <w:rFonts w:ascii="Times New Roman" w:hAnsi="Times New Roman" w:cs="Times New Roman"/>
                <w:b/>
                <w:u w:val="single"/>
              </w:rPr>
            </w:pPr>
            <w:r w:rsidRPr="00351727">
              <w:rPr>
                <w:rFonts w:ascii="Times New Roman" w:hAnsi="Times New Roman" w:cs="Times New Roman"/>
                <w:b/>
              </w:rPr>
              <w:t xml:space="preserve">Evaluate, strengthen, and revise the curriculum development process to ensure alignment from education to employment. </w:t>
            </w:r>
          </w:p>
        </w:tc>
      </w:tr>
      <w:tr w:rsidR="00DF413E" w14:paraId="722C8864" w14:textId="77777777" w:rsidTr="00414C13">
        <w:tc>
          <w:tcPr>
            <w:tcW w:w="13860" w:type="dxa"/>
            <w:gridSpan w:val="9"/>
          </w:tcPr>
          <w:p w14:paraId="05DFB4EC" w14:textId="77777777" w:rsidR="00DF413E" w:rsidRPr="00351727" w:rsidRDefault="00DF413E" w:rsidP="00DF413E">
            <w:pPr>
              <w:pStyle w:val="ListParagraph"/>
              <w:numPr>
                <w:ilvl w:val="0"/>
                <w:numId w:val="14"/>
              </w:numPr>
              <w:rPr>
                <w:rFonts w:ascii="Times New Roman" w:hAnsi="Times New Roman" w:cs="Times New Roman"/>
                <w:b/>
                <w:u w:val="single"/>
              </w:rPr>
            </w:pPr>
            <w:r w:rsidRPr="00351727">
              <w:rPr>
                <w:rFonts w:ascii="Times New Roman" w:hAnsi="Times New Roman" w:cs="Times New Roman"/>
              </w:rPr>
              <w:t>Create consistent mechanisms for improved regional engagement of business and industry in the curriculum development process</w:t>
            </w:r>
          </w:p>
        </w:tc>
      </w:tr>
      <w:tr w:rsidR="00DF413E" w14:paraId="007630CD" w14:textId="77777777" w:rsidTr="00053FC2">
        <w:tc>
          <w:tcPr>
            <w:tcW w:w="3016" w:type="dxa"/>
          </w:tcPr>
          <w:p w14:paraId="482AB2E2" w14:textId="77777777" w:rsidR="004C4D00" w:rsidRPr="00351727" w:rsidRDefault="004C4D00" w:rsidP="004C4D00">
            <w:pPr>
              <w:rPr>
                <w:color w:val="000000" w:themeColor="text1"/>
                <w:sz w:val="20"/>
                <w:szCs w:val="20"/>
              </w:rPr>
            </w:pPr>
            <w:r w:rsidRPr="00351727">
              <w:rPr>
                <w:color w:val="000000" w:themeColor="text1"/>
                <w:sz w:val="20"/>
                <w:szCs w:val="20"/>
              </w:rPr>
              <w:t>Curriculum</w:t>
            </w:r>
          </w:p>
          <w:p w14:paraId="3179492F" w14:textId="77777777" w:rsidR="00DF413E" w:rsidRPr="00351727" w:rsidRDefault="00DF413E" w:rsidP="0035494F">
            <w:pPr>
              <w:rPr>
                <w:i/>
              </w:rPr>
            </w:pPr>
          </w:p>
        </w:tc>
        <w:tc>
          <w:tcPr>
            <w:tcW w:w="2675" w:type="dxa"/>
            <w:gridSpan w:val="2"/>
          </w:tcPr>
          <w:p w14:paraId="14F9566F" w14:textId="77777777" w:rsidR="00DF413E" w:rsidRPr="00351727" w:rsidRDefault="00DF413E" w:rsidP="0035494F">
            <w:pPr>
              <w:rPr>
                <w:b/>
                <w:u w:val="single"/>
              </w:rPr>
            </w:pPr>
          </w:p>
        </w:tc>
        <w:tc>
          <w:tcPr>
            <w:tcW w:w="2672" w:type="dxa"/>
            <w:gridSpan w:val="2"/>
          </w:tcPr>
          <w:p w14:paraId="56D0EE00" w14:textId="2254AD95" w:rsidR="00C02693" w:rsidRPr="00351727" w:rsidRDefault="009424C0" w:rsidP="00C02693">
            <w:pPr>
              <w:widowControl w:val="0"/>
              <w:rPr>
                <w:rStyle w:val="Hyperlink"/>
                <w:color w:val="000000" w:themeColor="text1"/>
                <w:sz w:val="20"/>
                <w:szCs w:val="20"/>
              </w:rPr>
            </w:pPr>
            <w:r w:rsidRPr="00351727">
              <w:rPr>
                <w:color w:val="000000" w:themeColor="text1"/>
                <w:sz w:val="20"/>
                <w:szCs w:val="20"/>
              </w:rPr>
              <w:fldChar w:fldCharType="begin"/>
            </w:r>
            <w:r w:rsidR="00966AAD" w:rsidRPr="00351727">
              <w:rPr>
                <w:color w:val="000000" w:themeColor="text1"/>
                <w:sz w:val="20"/>
                <w:szCs w:val="20"/>
              </w:rPr>
              <w:instrText>HYPERLINK "http://www.asccc.org/resolutions/responding-industry-needs"</w:instrText>
            </w:r>
            <w:r w:rsidRPr="00351727">
              <w:rPr>
                <w:color w:val="000000" w:themeColor="text1"/>
                <w:sz w:val="20"/>
                <w:szCs w:val="20"/>
              </w:rPr>
              <w:fldChar w:fldCharType="separate"/>
            </w:r>
            <w:r w:rsidRPr="00351727">
              <w:rPr>
                <w:rStyle w:val="Hyperlink"/>
                <w:color w:val="000000" w:themeColor="text1"/>
                <w:sz w:val="20"/>
                <w:szCs w:val="20"/>
              </w:rPr>
              <w:t xml:space="preserve">9.10 F11 </w:t>
            </w:r>
            <w:r w:rsidR="00C02693" w:rsidRPr="00351727">
              <w:rPr>
                <w:rStyle w:val="Hyperlink"/>
                <w:color w:val="000000" w:themeColor="text1"/>
                <w:sz w:val="20"/>
                <w:szCs w:val="20"/>
              </w:rPr>
              <w:t>Responding to Industry Needs</w:t>
            </w:r>
          </w:p>
          <w:p w14:paraId="5566BEE7" w14:textId="00A8B23C" w:rsidR="00C02693" w:rsidRPr="00351727" w:rsidRDefault="009424C0" w:rsidP="00C02693">
            <w:pPr>
              <w:widowControl w:val="0"/>
              <w:rPr>
                <w:sz w:val="20"/>
                <w:szCs w:val="20"/>
              </w:rPr>
            </w:pPr>
            <w:r w:rsidRPr="00351727">
              <w:rPr>
                <w:color w:val="000000" w:themeColor="text1"/>
                <w:sz w:val="20"/>
                <w:szCs w:val="20"/>
              </w:rPr>
              <w:fldChar w:fldCharType="end"/>
            </w:r>
          </w:p>
          <w:p w14:paraId="3C75A94E" w14:textId="38DEF89B" w:rsidR="00DF413E" w:rsidRPr="00351727" w:rsidRDefault="009424C0" w:rsidP="009424C0">
            <w:pPr>
              <w:widowControl w:val="0"/>
              <w:rPr>
                <w:color w:val="5F497A"/>
                <w:sz w:val="20"/>
                <w:szCs w:val="20"/>
              </w:rPr>
            </w:pPr>
            <w:r w:rsidRPr="00351727">
              <w:rPr>
                <w:color w:val="000000" w:themeColor="text1"/>
                <w:sz w:val="20"/>
                <w:szCs w:val="20"/>
              </w:rPr>
              <w:t>S</w:t>
            </w:r>
            <w:r w:rsidR="00C02693" w:rsidRPr="00351727">
              <w:rPr>
                <w:color w:val="000000" w:themeColor="text1"/>
                <w:sz w:val="20"/>
                <w:szCs w:val="20"/>
              </w:rPr>
              <w:t>upport the identification of ways to appropriately respond to the curricular needs of business and industry in a timely manner, including the identification of mechanisms to expedite local curricular processes and the use of not-for-credit contract education as a means of immediately implementing curriculum delivery; and</w:t>
            </w:r>
            <w:r w:rsidRPr="00351727">
              <w:rPr>
                <w:color w:val="000000" w:themeColor="text1"/>
                <w:sz w:val="20"/>
                <w:szCs w:val="20"/>
              </w:rPr>
              <w:t xml:space="preserve"> </w:t>
            </w:r>
            <w:r w:rsidR="00C02693" w:rsidRPr="00351727">
              <w:rPr>
                <w:color w:val="000000" w:themeColor="text1"/>
                <w:sz w:val="20"/>
                <w:szCs w:val="20"/>
              </w:rPr>
              <w:t>explore current practices, identify barriers, and promote effective practices in responding to the curricular needs of business and industry and present this information by the Fall 2012 Session.</w:t>
            </w:r>
          </w:p>
        </w:tc>
        <w:tc>
          <w:tcPr>
            <w:tcW w:w="2611" w:type="dxa"/>
            <w:gridSpan w:val="3"/>
          </w:tcPr>
          <w:p w14:paraId="08ECEC08" w14:textId="77777777" w:rsidR="00DF413E" w:rsidRPr="00053FC2" w:rsidRDefault="00DF413E" w:rsidP="0035494F">
            <w:pPr>
              <w:rPr>
                <w:b/>
                <w:u w:val="single"/>
              </w:rPr>
            </w:pPr>
          </w:p>
        </w:tc>
        <w:tc>
          <w:tcPr>
            <w:tcW w:w="2886" w:type="dxa"/>
          </w:tcPr>
          <w:p w14:paraId="0427A875" w14:textId="08FCCE9F" w:rsidR="00DF413E" w:rsidRPr="005976FE" w:rsidRDefault="003047F8" w:rsidP="0035494F">
            <w:pPr>
              <w:rPr>
                <w:sz w:val="20"/>
                <w:szCs w:val="20"/>
              </w:rPr>
            </w:pPr>
            <w:r w:rsidRPr="005976FE">
              <w:rPr>
                <w:color w:val="FF0000"/>
                <w:sz w:val="20"/>
                <w:szCs w:val="20"/>
              </w:rPr>
              <w:t>ASCCC Lead</w:t>
            </w:r>
          </w:p>
        </w:tc>
      </w:tr>
      <w:tr w:rsidR="00DF413E" w14:paraId="5BBB57F0" w14:textId="77777777" w:rsidTr="00414C13">
        <w:tc>
          <w:tcPr>
            <w:tcW w:w="13860" w:type="dxa"/>
            <w:gridSpan w:val="9"/>
          </w:tcPr>
          <w:p w14:paraId="513AE6F6" w14:textId="77777777" w:rsidR="00DF413E" w:rsidRPr="00351727" w:rsidRDefault="00DF413E" w:rsidP="00DF413E">
            <w:pPr>
              <w:pStyle w:val="ListParagraph"/>
              <w:numPr>
                <w:ilvl w:val="0"/>
                <w:numId w:val="14"/>
              </w:numPr>
              <w:rPr>
                <w:rFonts w:ascii="Times New Roman" w:hAnsi="Times New Roman" w:cs="Times New Roman"/>
                <w:b/>
                <w:u w:val="single"/>
              </w:rPr>
            </w:pPr>
            <w:r w:rsidRPr="00351727">
              <w:rPr>
                <w:rFonts w:ascii="Times New Roman" w:hAnsi="Times New Roman" w:cs="Times New Roman"/>
              </w:rPr>
              <w:t>Provide state-level leadership and coordination in developing model curricula that can be customized and considered for adoption by faculty and colleges.</w:t>
            </w:r>
          </w:p>
        </w:tc>
      </w:tr>
      <w:tr w:rsidR="00DF413E" w14:paraId="5F88E79C" w14:textId="77777777" w:rsidTr="00053FC2">
        <w:tc>
          <w:tcPr>
            <w:tcW w:w="3016" w:type="dxa"/>
          </w:tcPr>
          <w:p w14:paraId="4A695B78" w14:textId="66808CB3" w:rsidR="004C4D00" w:rsidRPr="005976FE" w:rsidRDefault="004C4D00" w:rsidP="005976FE">
            <w:pPr>
              <w:pStyle w:val="ListParagraph"/>
              <w:numPr>
                <w:ilvl w:val="0"/>
                <w:numId w:val="41"/>
              </w:numPr>
              <w:ind w:left="360"/>
              <w:rPr>
                <w:rFonts w:ascii="Times New Roman" w:hAnsi="Times New Roman" w:cs="Times New Roman"/>
                <w:color w:val="000000" w:themeColor="text1"/>
                <w:sz w:val="20"/>
                <w:szCs w:val="20"/>
              </w:rPr>
            </w:pPr>
            <w:r w:rsidRPr="005976FE">
              <w:rPr>
                <w:rFonts w:ascii="Times New Roman" w:hAnsi="Times New Roman" w:cs="Times New Roman"/>
                <w:color w:val="000000" w:themeColor="text1"/>
                <w:sz w:val="20"/>
                <w:szCs w:val="20"/>
              </w:rPr>
              <w:t>Curriculum</w:t>
            </w:r>
          </w:p>
          <w:p w14:paraId="3D297F0F" w14:textId="6D3CBDB3" w:rsidR="004C4D00" w:rsidRPr="005976FE" w:rsidRDefault="004C4D00" w:rsidP="0035494F">
            <w:pPr>
              <w:pStyle w:val="ListParagraph"/>
              <w:numPr>
                <w:ilvl w:val="0"/>
                <w:numId w:val="41"/>
              </w:numPr>
              <w:ind w:left="360"/>
              <w:rPr>
                <w:rFonts w:ascii="Times New Roman" w:hAnsi="Times New Roman" w:cs="Times New Roman"/>
                <w:color w:val="000000" w:themeColor="text1"/>
                <w:sz w:val="20"/>
                <w:szCs w:val="20"/>
              </w:rPr>
            </w:pPr>
            <w:r w:rsidRPr="005976FE">
              <w:rPr>
                <w:rFonts w:ascii="Times New Roman" w:hAnsi="Times New Roman" w:cs="Times New Roman"/>
                <w:color w:val="000000" w:themeColor="text1"/>
                <w:sz w:val="20"/>
                <w:szCs w:val="20"/>
              </w:rPr>
              <w:t>Educational Program Development</w:t>
            </w:r>
          </w:p>
        </w:tc>
        <w:tc>
          <w:tcPr>
            <w:tcW w:w="2675" w:type="dxa"/>
            <w:gridSpan w:val="2"/>
          </w:tcPr>
          <w:p w14:paraId="7BFC395D" w14:textId="77777777" w:rsidR="00DF413E" w:rsidRPr="00053FC2" w:rsidRDefault="00DF413E" w:rsidP="0035494F">
            <w:pPr>
              <w:rPr>
                <w:b/>
                <w:u w:val="single"/>
              </w:rPr>
            </w:pPr>
          </w:p>
        </w:tc>
        <w:tc>
          <w:tcPr>
            <w:tcW w:w="2672" w:type="dxa"/>
            <w:gridSpan w:val="2"/>
          </w:tcPr>
          <w:p w14:paraId="764785F1" w14:textId="698FF0B9" w:rsidR="009424C0" w:rsidRPr="009424C0" w:rsidRDefault="009424C0" w:rsidP="009424C0">
            <w:pPr>
              <w:widowControl w:val="0"/>
              <w:rPr>
                <w:rStyle w:val="Hyperlink"/>
                <w:color w:val="000000" w:themeColor="text1"/>
                <w:sz w:val="20"/>
                <w:szCs w:val="20"/>
              </w:rPr>
            </w:pPr>
            <w:r w:rsidRPr="009424C0">
              <w:rPr>
                <w:color w:val="000000" w:themeColor="text1"/>
                <w:sz w:val="20"/>
                <w:szCs w:val="20"/>
              </w:rPr>
              <w:fldChar w:fldCharType="begin"/>
            </w:r>
            <w:r w:rsidRPr="009424C0">
              <w:rPr>
                <w:color w:val="000000" w:themeColor="text1"/>
                <w:sz w:val="20"/>
                <w:szCs w:val="20"/>
              </w:rPr>
              <w:instrText xml:space="preserve"> HYPERLINK "http://www.asccc.org/resolutions/formalizing-model-curriculum" </w:instrText>
            </w:r>
            <w:r w:rsidRPr="009424C0">
              <w:rPr>
                <w:color w:val="000000" w:themeColor="text1"/>
                <w:sz w:val="20"/>
                <w:szCs w:val="20"/>
              </w:rPr>
              <w:fldChar w:fldCharType="separate"/>
            </w:r>
            <w:r w:rsidRPr="009424C0">
              <w:rPr>
                <w:rStyle w:val="Hyperlink"/>
                <w:color w:val="000000" w:themeColor="text1"/>
                <w:sz w:val="20"/>
                <w:szCs w:val="20"/>
              </w:rPr>
              <w:t>09.11 F14</w:t>
            </w:r>
          </w:p>
          <w:p w14:paraId="4E0578D2" w14:textId="77777777" w:rsidR="00026A3F" w:rsidRPr="009424C0" w:rsidRDefault="00026A3F" w:rsidP="00026A3F">
            <w:pPr>
              <w:widowControl w:val="0"/>
              <w:rPr>
                <w:rStyle w:val="Hyperlink"/>
                <w:color w:val="000000" w:themeColor="text1"/>
                <w:sz w:val="20"/>
                <w:szCs w:val="20"/>
              </w:rPr>
            </w:pPr>
            <w:r w:rsidRPr="009424C0">
              <w:rPr>
                <w:rStyle w:val="Hyperlink"/>
                <w:color w:val="000000" w:themeColor="text1"/>
                <w:sz w:val="20"/>
                <w:szCs w:val="20"/>
              </w:rPr>
              <w:t>Formalizing Model Curriculum</w:t>
            </w:r>
          </w:p>
          <w:p w14:paraId="30EA7799" w14:textId="2E04EE56" w:rsidR="009424C0" w:rsidRDefault="009424C0" w:rsidP="00026A3F">
            <w:pPr>
              <w:widowControl w:val="0"/>
              <w:rPr>
                <w:sz w:val="18"/>
              </w:rPr>
            </w:pPr>
            <w:r w:rsidRPr="009424C0">
              <w:rPr>
                <w:color w:val="000000" w:themeColor="text1"/>
                <w:sz w:val="20"/>
                <w:szCs w:val="20"/>
              </w:rPr>
              <w:fldChar w:fldCharType="end"/>
            </w:r>
          </w:p>
          <w:p w14:paraId="1631999A" w14:textId="6C6984AF" w:rsidR="00DF413E" w:rsidRPr="009424C0" w:rsidRDefault="009424C0" w:rsidP="009424C0">
            <w:pPr>
              <w:widowControl w:val="0"/>
              <w:rPr>
                <w:sz w:val="20"/>
                <w:szCs w:val="20"/>
              </w:rPr>
            </w:pPr>
            <w:r w:rsidRPr="009424C0">
              <w:rPr>
                <w:sz w:val="20"/>
                <w:szCs w:val="20"/>
              </w:rPr>
              <w:t>O</w:t>
            </w:r>
            <w:r w:rsidR="00026A3F" w:rsidRPr="009424C0">
              <w:rPr>
                <w:sz w:val="20"/>
                <w:szCs w:val="20"/>
              </w:rPr>
              <w:t>fficially endorse the ongoing work of discipline faculty in the creation of model curricula and create a special designation to ensure clear identification for degrees and certificates based on model curricula;</w:t>
            </w:r>
            <w:r w:rsidRPr="009424C0">
              <w:rPr>
                <w:sz w:val="20"/>
                <w:szCs w:val="20"/>
              </w:rPr>
              <w:t xml:space="preserve"> </w:t>
            </w:r>
            <w:r w:rsidR="00026A3F" w:rsidRPr="009424C0">
              <w:rPr>
                <w:sz w:val="20"/>
                <w:szCs w:val="20"/>
              </w:rPr>
              <w:t>urge local academic senates and curriculum committees to recognize the benefits of model curricula as a pathway to assist students in achieving their educational goals, develop degrees when warranted that adhere to model curricula, and adopt reciprocity agreements to ensure seamless transitions of students between colleges with comparable degrees based on model curricula; and</w:t>
            </w:r>
            <w:r w:rsidRPr="009424C0">
              <w:rPr>
                <w:sz w:val="20"/>
                <w:szCs w:val="20"/>
              </w:rPr>
              <w:t xml:space="preserve"> </w:t>
            </w:r>
            <w:r w:rsidR="00026A3F" w:rsidRPr="009424C0">
              <w:rPr>
                <w:sz w:val="20"/>
                <w:szCs w:val="20"/>
              </w:rPr>
              <w:t>urge the Chancellor’s Office to officially recognize degrees and certificates based on model curricula and consider streamlining the approval process for such degrees</w:t>
            </w:r>
          </w:p>
        </w:tc>
        <w:tc>
          <w:tcPr>
            <w:tcW w:w="2611" w:type="dxa"/>
            <w:gridSpan w:val="3"/>
          </w:tcPr>
          <w:p w14:paraId="07DE6351" w14:textId="77777777" w:rsidR="00DF413E" w:rsidRPr="00053FC2" w:rsidRDefault="00DF413E" w:rsidP="0035494F">
            <w:pPr>
              <w:rPr>
                <w:b/>
                <w:u w:val="single"/>
              </w:rPr>
            </w:pPr>
          </w:p>
        </w:tc>
        <w:tc>
          <w:tcPr>
            <w:tcW w:w="2886" w:type="dxa"/>
          </w:tcPr>
          <w:p w14:paraId="7994E101" w14:textId="72E32C18" w:rsidR="00DF413E" w:rsidRPr="009B33D3" w:rsidRDefault="003047F8" w:rsidP="0035494F">
            <w:pPr>
              <w:rPr>
                <w:b/>
                <w:sz w:val="20"/>
                <w:szCs w:val="20"/>
                <w:u w:val="single"/>
              </w:rPr>
            </w:pPr>
            <w:r w:rsidRPr="009B33D3">
              <w:rPr>
                <w:color w:val="FF0000"/>
                <w:sz w:val="20"/>
                <w:szCs w:val="20"/>
              </w:rPr>
              <w:t>ASCCC Lead (C-ID)</w:t>
            </w:r>
          </w:p>
        </w:tc>
      </w:tr>
      <w:tr w:rsidR="007E35AB" w14:paraId="495D7CB0" w14:textId="77777777" w:rsidTr="00414C13">
        <w:tc>
          <w:tcPr>
            <w:tcW w:w="13860" w:type="dxa"/>
            <w:gridSpan w:val="9"/>
          </w:tcPr>
          <w:p w14:paraId="222A3C71" w14:textId="77777777" w:rsidR="007E35AB" w:rsidRPr="00351727" w:rsidRDefault="007E35AB" w:rsidP="007E35AB">
            <w:pPr>
              <w:pStyle w:val="ListParagraph"/>
              <w:numPr>
                <w:ilvl w:val="0"/>
                <w:numId w:val="14"/>
              </w:numPr>
              <w:rPr>
                <w:rFonts w:ascii="Times New Roman" w:hAnsi="Times New Roman" w:cs="Times New Roman"/>
                <w:b/>
                <w:u w:val="single"/>
              </w:rPr>
            </w:pPr>
            <w:r w:rsidRPr="00351727">
              <w:rPr>
                <w:rFonts w:ascii="Times New Roman" w:hAnsi="Times New Roman" w:cs="Times New Roman"/>
              </w:rPr>
              <w:t>Create a process for the development of collaborative programs between colleges.</w:t>
            </w:r>
          </w:p>
        </w:tc>
      </w:tr>
      <w:tr w:rsidR="00DF413E" w14:paraId="0C7BCA84" w14:textId="77777777" w:rsidTr="00053FC2">
        <w:tc>
          <w:tcPr>
            <w:tcW w:w="3016" w:type="dxa"/>
          </w:tcPr>
          <w:p w14:paraId="7A8AA89C" w14:textId="4341DFDA" w:rsidR="00CB226C" w:rsidRPr="009B33D3" w:rsidRDefault="00CB226C" w:rsidP="009B33D3">
            <w:pPr>
              <w:pStyle w:val="ListParagraph"/>
              <w:numPr>
                <w:ilvl w:val="0"/>
                <w:numId w:val="42"/>
              </w:numPr>
              <w:spacing w:line="240" w:lineRule="auto"/>
              <w:ind w:left="360"/>
              <w:rPr>
                <w:rFonts w:ascii="Times New Roman" w:hAnsi="Times New Roman" w:cs="Times New Roman"/>
                <w:color w:val="000000" w:themeColor="text1"/>
                <w:sz w:val="20"/>
                <w:szCs w:val="20"/>
              </w:rPr>
            </w:pPr>
            <w:r w:rsidRPr="009B33D3">
              <w:rPr>
                <w:rFonts w:ascii="Times New Roman" w:hAnsi="Times New Roman" w:cs="Times New Roman"/>
                <w:color w:val="000000" w:themeColor="text1"/>
                <w:sz w:val="20"/>
                <w:szCs w:val="20"/>
              </w:rPr>
              <w:t>Curriculum</w:t>
            </w:r>
          </w:p>
          <w:p w14:paraId="34735DC9" w14:textId="77777777" w:rsidR="00CB226C" w:rsidRPr="009B33D3" w:rsidRDefault="00CB226C" w:rsidP="009B33D3">
            <w:pPr>
              <w:pStyle w:val="ListParagraph"/>
              <w:numPr>
                <w:ilvl w:val="0"/>
                <w:numId w:val="42"/>
              </w:numPr>
              <w:spacing w:line="240" w:lineRule="auto"/>
              <w:ind w:left="360"/>
              <w:rPr>
                <w:rFonts w:ascii="Times New Roman" w:hAnsi="Times New Roman" w:cs="Times New Roman"/>
                <w:color w:val="000000" w:themeColor="text1"/>
                <w:sz w:val="20"/>
                <w:szCs w:val="20"/>
              </w:rPr>
            </w:pPr>
            <w:r w:rsidRPr="009B33D3">
              <w:rPr>
                <w:rFonts w:ascii="Times New Roman" w:hAnsi="Times New Roman" w:cs="Times New Roman"/>
                <w:color w:val="000000" w:themeColor="text1"/>
                <w:sz w:val="20"/>
                <w:szCs w:val="20"/>
              </w:rPr>
              <w:t>Educational Program Development</w:t>
            </w:r>
          </w:p>
          <w:p w14:paraId="22854A46" w14:textId="77777777" w:rsidR="00DF413E" w:rsidRPr="009639CC" w:rsidRDefault="00DF413E" w:rsidP="0035494F">
            <w:pPr>
              <w:rPr>
                <w:i/>
              </w:rPr>
            </w:pPr>
          </w:p>
        </w:tc>
        <w:tc>
          <w:tcPr>
            <w:tcW w:w="2675" w:type="dxa"/>
            <w:gridSpan w:val="2"/>
          </w:tcPr>
          <w:p w14:paraId="6E7F2D34" w14:textId="77777777" w:rsidR="00DF413E" w:rsidRPr="00053FC2" w:rsidRDefault="00DF413E" w:rsidP="0035494F">
            <w:pPr>
              <w:rPr>
                <w:b/>
                <w:u w:val="single"/>
              </w:rPr>
            </w:pPr>
          </w:p>
        </w:tc>
        <w:tc>
          <w:tcPr>
            <w:tcW w:w="2672" w:type="dxa"/>
            <w:gridSpan w:val="2"/>
          </w:tcPr>
          <w:p w14:paraId="23F4D243" w14:textId="7A0E150F" w:rsidR="00DF413E" w:rsidRPr="003047F8" w:rsidRDefault="003047F8" w:rsidP="0035494F">
            <w:pPr>
              <w:rPr>
                <w:rStyle w:val="Hyperlink"/>
                <w:sz w:val="20"/>
                <w:szCs w:val="20"/>
              </w:rPr>
            </w:pPr>
            <w:r>
              <w:rPr>
                <w:sz w:val="20"/>
                <w:szCs w:val="20"/>
              </w:rPr>
              <w:fldChar w:fldCharType="begin"/>
            </w:r>
            <w:r>
              <w:rPr>
                <w:sz w:val="20"/>
                <w:szCs w:val="20"/>
              </w:rPr>
              <w:instrText xml:space="preserve"> HYPERLINK "http://www.asccc.org/resolutions/regional-conjoint-programs" </w:instrText>
            </w:r>
            <w:r>
              <w:rPr>
                <w:sz w:val="20"/>
                <w:szCs w:val="20"/>
              </w:rPr>
              <w:fldChar w:fldCharType="separate"/>
            </w:r>
            <w:r w:rsidRPr="003047F8">
              <w:rPr>
                <w:rStyle w:val="Hyperlink"/>
                <w:sz w:val="20"/>
                <w:szCs w:val="20"/>
              </w:rPr>
              <w:t xml:space="preserve">9.02 S13 Regional Conjoint Programs </w:t>
            </w:r>
          </w:p>
          <w:p w14:paraId="7EFB5DD7" w14:textId="613AEFD4" w:rsidR="003047F8" w:rsidRDefault="003047F8" w:rsidP="0035494F">
            <w:pPr>
              <w:rPr>
                <w:sz w:val="20"/>
                <w:szCs w:val="20"/>
              </w:rPr>
            </w:pPr>
            <w:r>
              <w:rPr>
                <w:sz w:val="20"/>
                <w:szCs w:val="20"/>
              </w:rPr>
              <w:fldChar w:fldCharType="end"/>
            </w:r>
          </w:p>
          <w:p w14:paraId="1FF61290" w14:textId="18EC35CE" w:rsidR="00635FB1" w:rsidRPr="003047F8" w:rsidRDefault="003047F8" w:rsidP="00B40E85">
            <w:pPr>
              <w:pStyle w:val="NormalWeb"/>
              <w:spacing w:before="0" w:beforeAutospacing="0" w:after="240" w:afterAutospacing="0"/>
              <w:rPr>
                <w:color w:val="574C45"/>
                <w:sz w:val="20"/>
                <w:szCs w:val="20"/>
              </w:rPr>
            </w:pPr>
            <w:r>
              <w:rPr>
                <w:color w:val="574C45"/>
                <w:sz w:val="20"/>
                <w:szCs w:val="20"/>
              </w:rPr>
              <w:t>E</w:t>
            </w:r>
            <w:r w:rsidRPr="003047F8">
              <w:rPr>
                <w:color w:val="574C45"/>
                <w:sz w:val="20"/>
                <w:szCs w:val="20"/>
              </w:rPr>
              <w:t>xplore the feasibility of expanding the use of conjoint programs and report the findings and possible next steps at the Fall 2013 Plenary Session; and</w:t>
            </w:r>
            <w:r>
              <w:rPr>
                <w:color w:val="574C45"/>
                <w:sz w:val="20"/>
                <w:szCs w:val="20"/>
              </w:rPr>
              <w:t xml:space="preserve"> </w:t>
            </w:r>
            <w:r w:rsidRPr="003047F8">
              <w:rPr>
                <w:color w:val="574C45"/>
                <w:sz w:val="20"/>
                <w:szCs w:val="20"/>
              </w:rPr>
              <w:t>further work with the Chancellor’s Office to develop recommendations to the Board of Governors that will allow colleges with conjoint programs to accurately track and report completion and success of students in those programs at each college participating in such a program and to include this accurate data in comparative documents such as the Accountability Reporting for the Community Colleges (ARCC) reports, the Community College Scorecards, and others.</w:t>
            </w:r>
          </w:p>
        </w:tc>
        <w:tc>
          <w:tcPr>
            <w:tcW w:w="2611" w:type="dxa"/>
            <w:gridSpan w:val="3"/>
          </w:tcPr>
          <w:p w14:paraId="3E32DCBA" w14:textId="0115A756" w:rsidR="004C4D00" w:rsidRPr="009B33D3" w:rsidRDefault="004C4D00" w:rsidP="0035494F">
            <w:pPr>
              <w:rPr>
                <w:color w:val="000000" w:themeColor="text1"/>
                <w:sz w:val="20"/>
                <w:szCs w:val="20"/>
              </w:rPr>
            </w:pPr>
            <w:r w:rsidRPr="004A7E6A">
              <w:rPr>
                <w:color w:val="000000" w:themeColor="text1"/>
                <w:sz w:val="20"/>
                <w:szCs w:val="20"/>
              </w:rPr>
              <w:t>Chancellor’s Office</w:t>
            </w:r>
            <w:r w:rsidR="009B33D3">
              <w:rPr>
                <w:color w:val="000000" w:themeColor="text1"/>
                <w:sz w:val="20"/>
                <w:szCs w:val="20"/>
              </w:rPr>
              <w:t xml:space="preserve">; </w:t>
            </w:r>
            <w:r w:rsidRPr="004A7E6A">
              <w:rPr>
                <w:color w:val="000000" w:themeColor="text1"/>
                <w:sz w:val="20"/>
                <w:szCs w:val="20"/>
              </w:rPr>
              <w:t>SACC</w:t>
            </w:r>
          </w:p>
        </w:tc>
        <w:tc>
          <w:tcPr>
            <w:tcW w:w="2886" w:type="dxa"/>
          </w:tcPr>
          <w:p w14:paraId="404AB12C" w14:textId="64EDEDE1" w:rsidR="00DF413E" w:rsidRPr="009B33D3" w:rsidRDefault="003047F8" w:rsidP="0035494F">
            <w:pPr>
              <w:rPr>
                <w:b/>
                <w:sz w:val="20"/>
                <w:szCs w:val="20"/>
                <w:u w:val="single"/>
              </w:rPr>
            </w:pPr>
            <w:r w:rsidRPr="009B33D3">
              <w:rPr>
                <w:color w:val="FF0000"/>
                <w:sz w:val="20"/>
                <w:szCs w:val="20"/>
              </w:rPr>
              <w:t>ASCCC Lead</w:t>
            </w:r>
            <w:r w:rsidR="004C4D00" w:rsidRPr="009B33D3">
              <w:rPr>
                <w:color w:val="FF0000"/>
                <w:sz w:val="20"/>
                <w:szCs w:val="20"/>
              </w:rPr>
              <w:t xml:space="preserve"> (or advisory through SACC)</w:t>
            </w:r>
          </w:p>
        </w:tc>
      </w:tr>
      <w:tr w:rsidR="007E35AB" w14:paraId="3034AE7D" w14:textId="77777777" w:rsidTr="00414C13">
        <w:tc>
          <w:tcPr>
            <w:tcW w:w="13860" w:type="dxa"/>
            <w:gridSpan w:val="9"/>
          </w:tcPr>
          <w:p w14:paraId="0414E227" w14:textId="2E6EC543" w:rsidR="007E35AB" w:rsidRPr="00351727" w:rsidRDefault="007E35AB" w:rsidP="007E35AB">
            <w:pPr>
              <w:pStyle w:val="ListParagraph"/>
              <w:numPr>
                <w:ilvl w:val="0"/>
                <w:numId w:val="14"/>
              </w:numPr>
              <w:rPr>
                <w:rFonts w:ascii="Times New Roman" w:hAnsi="Times New Roman" w:cs="Times New Roman"/>
                <w:b/>
                <w:u w:val="single"/>
              </w:rPr>
            </w:pPr>
            <w:r w:rsidRPr="00351727">
              <w:rPr>
                <w:rFonts w:ascii="Times New Roman" w:hAnsi="Times New Roman" w:cs="Times New Roman"/>
              </w:rPr>
              <w:t>Support faculty and colleges in developing and expanding the use of contract education to meet the dynamic needs of business and industry in an expedited manner.</w:t>
            </w:r>
          </w:p>
        </w:tc>
      </w:tr>
      <w:tr w:rsidR="00DF413E" w14:paraId="712327C9" w14:textId="77777777" w:rsidTr="00053FC2">
        <w:tc>
          <w:tcPr>
            <w:tcW w:w="3016" w:type="dxa"/>
          </w:tcPr>
          <w:p w14:paraId="174CECCE" w14:textId="4C5342A8" w:rsidR="00CB226C" w:rsidRPr="009B33D3" w:rsidRDefault="00CB226C" w:rsidP="009B33D3">
            <w:pPr>
              <w:pStyle w:val="ListParagraph"/>
              <w:numPr>
                <w:ilvl w:val="0"/>
                <w:numId w:val="43"/>
              </w:numPr>
              <w:spacing w:line="240" w:lineRule="auto"/>
              <w:ind w:left="360"/>
              <w:rPr>
                <w:rFonts w:ascii="Times New Roman" w:hAnsi="Times New Roman" w:cs="Times New Roman"/>
                <w:color w:val="000000" w:themeColor="text1"/>
                <w:sz w:val="20"/>
                <w:szCs w:val="20"/>
              </w:rPr>
            </w:pPr>
            <w:r w:rsidRPr="009B33D3">
              <w:rPr>
                <w:rFonts w:ascii="Times New Roman" w:hAnsi="Times New Roman" w:cs="Times New Roman"/>
                <w:color w:val="000000" w:themeColor="text1"/>
                <w:sz w:val="20"/>
                <w:szCs w:val="20"/>
              </w:rPr>
              <w:t>Curriculum</w:t>
            </w:r>
          </w:p>
          <w:p w14:paraId="7016AD5A" w14:textId="16A39C54" w:rsidR="00DF413E" w:rsidRPr="009B33D3" w:rsidRDefault="00CB226C" w:rsidP="0035494F">
            <w:pPr>
              <w:pStyle w:val="ListParagraph"/>
              <w:numPr>
                <w:ilvl w:val="0"/>
                <w:numId w:val="43"/>
              </w:numPr>
              <w:spacing w:line="240" w:lineRule="auto"/>
              <w:ind w:left="360"/>
              <w:rPr>
                <w:rFonts w:ascii="Times New Roman" w:hAnsi="Times New Roman" w:cs="Times New Roman"/>
                <w:color w:val="000000" w:themeColor="text1"/>
                <w:sz w:val="20"/>
                <w:szCs w:val="20"/>
              </w:rPr>
            </w:pPr>
            <w:r w:rsidRPr="009B33D3">
              <w:rPr>
                <w:rFonts w:ascii="Times New Roman" w:hAnsi="Times New Roman" w:cs="Times New Roman"/>
                <w:color w:val="000000" w:themeColor="text1"/>
                <w:sz w:val="20"/>
                <w:szCs w:val="20"/>
              </w:rPr>
              <w:t>Educational Program Development</w:t>
            </w:r>
          </w:p>
        </w:tc>
        <w:tc>
          <w:tcPr>
            <w:tcW w:w="2675" w:type="dxa"/>
            <w:gridSpan w:val="2"/>
          </w:tcPr>
          <w:p w14:paraId="31053B86" w14:textId="58DB9C39" w:rsidR="00DF413E" w:rsidRPr="004A7E6A" w:rsidRDefault="00CB226C" w:rsidP="0035494F">
            <w:pPr>
              <w:rPr>
                <w:color w:val="000000" w:themeColor="text1"/>
                <w:sz w:val="20"/>
                <w:szCs w:val="20"/>
              </w:rPr>
            </w:pPr>
            <w:r w:rsidRPr="004A7E6A">
              <w:rPr>
                <w:color w:val="000000" w:themeColor="text1"/>
                <w:sz w:val="20"/>
                <w:szCs w:val="20"/>
              </w:rPr>
              <w:t>Policy direction on effective practices for implementing and expanding contract education</w:t>
            </w:r>
          </w:p>
        </w:tc>
        <w:tc>
          <w:tcPr>
            <w:tcW w:w="2672" w:type="dxa"/>
            <w:gridSpan w:val="2"/>
          </w:tcPr>
          <w:p w14:paraId="38D8E61F" w14:textId="77777777" w:rsidR="00B40E85" w:rsidRPr="00414C13" w:rsidRDefault="00B40E85" w:rsidP="00B40E85">
            <w:pPr>
              <w:pStyle w:val="NormalWeb"/>
              <w:spacing w:before="0" w:beforeAutospacing="0" w:after="240" w:afterAutospacing="0"/>
              <w:rPr>
                <w:rStyle w:val="Hyperlink"/>
                <w:sz w:val="20"/>
                <w:szCs w:val="20"/>
              </w:rPr>
            </w:pPr>
            <w:r>
              <w:rPr>
                <w:color w:val="574C45"/>
                <w:sz w:val="20"/>
                <w:szCs w:val="20"/>
              </w:rPr>
              <w:fldChar w:fldCharType="begin"/>
            </w:r>
            <w:r>
              <w:rPr>
                <w:color w:val="574C45"/>
                <w:sz w:val="20"/>
                <w:szCs w:val="20"/>
              </w:rPr>
              <w:instrText xml:space="preserve"> HYPERLINK "http://www.asccc.org/resolutions/contract-education-1" </w:instrText>
            </w:r>
            <w:r>
              <w:rPr>
                <w:color w:val="574C45"/>
                <w:sz w:val="20"/>
                <w:szCs w:val="20"/>
              </w:rPr>
              <w:fldChar w:fldCharType="separate"/>
            </w:r>
            <w:r w:rsidRPr="00414C13">
              <w:rPr>
                <w:rStyle w:val="Hyperlink"/>
                <w:sz w:val="20"/>
                <w:szCs w:val="20"/>
              </w:rPr>
              <w:t>11.02 F91 Contract Education</w:t>
            </w:r>
          </w:p>
          <w:p w14:paraId="7400F545" w14:textId="77777777" w:rsidR="00B40E85" w:rsidRPr="00414C13" w:rsidRDefault="00B40E85" w:rsidP="00B40E85">
            <w:pPr>
              <w:pStyle w:val="NormalWeb"/>
              <w:rPr>
                <w:color w:val="574C45"/>
                <w:sz w:val="20"/>
                <w:szCs w:val="20"/>
              </w:rPr>
            </w:pPr>
            <w:r>
              <w:rPr>
                <w:color w:val="574C45"/>
                <w:sz w:val="20"/>
                <w:szCs w:val="20"/>
              </w:rPr>
              <w:fldChar w:fldCharType="end"/>
            </w:r>
            <w:r>
              <w:rPr>
                <w:color w:val="574C45"/>
                <w:sz w:val="20"/>
                <w:szCs w:val="20"/>
              </w:rPr>
              <w:t>R</w:t>
            </w:r>
            <w:r w:rsidRPr="00414C13">
              <w:rPr>
                <w:color w:val="574C45"/>
                <w:sz w:val="20"/>
                <w:szCs w:val="20"/>
              </w:rPr>
              <w:t>eaffirm that local senates:</w:t>
            </w:r>
          </w:p>
          <w:p w14:paraId="63CE593E" w14:textId="77777777" w:rsidR="00B40E85" w:rsidRPr="00414C13" w:rsidRDefault="00B40E85" w:rsidP="00B40E85">
            <w:pPr>
              <w:pStyle w:val="NormalWeb"/>
              <w:rPr>
                <w:color w:val="574C45"/>
                <w:sz w:val="20"/>
                <w:szCs w:val="20"/>
              </w:rPr>
            </w:pPr>
            <w:r w:rsidRPr="00414C13">
              <w:rPr>
                <w:color w:val="574C45"/>
                <w:sz w:val="20"/>
                <w:szCs w:val="20"/>
              </w:rPr>
              <w:t>1. Develop procedures that will use the same approval processes used for contract credit and noncredit education courses as are used for regular credit, noncredit and not-for-credit courses respectively, and</w:t>
            </w:r>
          </w:p>
          <w:p w14:paraId="7E427F0E" w14:textId="77777777" w:rsidR="00B40E85" w:rsidRPr="00414C13" w:rsidRDefault="00B40E85" w:rsidP="00B40E85">
            <w:pPr>
              <w:pStyle w:val="NormalWeb"/>
              <w:rPr>
                <w:color w:val="574C45"/>
                <w:sz w:val="20"/>
                <w:szCs w:val="20"/>
              </w:rPr>
            </w:pPr>
            <w:r w:rsidRPr="00414C13">
              <w:rPr>
                <w:color w:val="574C45"/>
                <w:sz w:val="20"/>
                <w:szCs w:val="20"/>
              </w:rPr>
              <w:t>2. Remind their districts to use the minimum qualifications that were developed for credit and noncredit disciplines respectively when hiring faculty to teach contract credit and noncredit education courses, and</w:t>
            </w:r>
          </w:p>
          <w:p w14:paraId="58112CA1" w14:textId="77777777" w:rsidR="00B40E85" w:rsidRPr="00414C13" w:rsidRDefault="00B40E85" w:rsidP="00B40E85">
            <w:pPr>
              <w:pStyle w:val="NormalWeb"/>
              <w:rPr>
                <w:color w:val="574C45"/>
                <w:sz w:val="20"/>
                <w:szCs w:val="20"/>
              </w:rPr>
            </w:pPr>
            <w:r w:rsidRPr="00414C13">
              <w:rPr>
                <w:color w:val="574C45"/>
                <w:sz w:val="20"/>
                <w:szCs w:val="20"/>
              </w:rPr>
              <w:t>3. Determine how faculty are hired to teach contract credit and noncredit education courses in their districts, and</w:t>
            </w:r>
          </w:p>
          <w:p w14:paraId="25E9EFBC" w14:textId="77777777" w:rsidR="00B40E85" w:rsidRPr="00414C13" w:rsidRDefault="00B40E85" w:rsidP="00B40E85">
            <w:pPr>
              <w:pStyle w:val="NormalWeb"/>
              <w:rPr>
                <w:color w:val="574C45"/>
                <w:sz w:val="20"/>
                <w:szCs w:val="20"/>
              </w:rPr>
            </w:pPr>
            <w:r w:rsidRPr="00414C13">
              <w:rPr>
                <w:color w:val="574C45"/>
                <w:sz w:val="20"/>
                <w:szCs w:val="20"/>
              </w:rPr>
              <w:t>4. Work within their districts to ensure that when hiring faculty to teach contract credit and noncredit education courses, these faculty are hired by following the procedures that have been established for hiring regular credit and noncredit faculty.</w:t>
            </w:r>
          </w:p>
          <w:p w14:paraId="1A9ED192" w14:textId="7909205A" w:rsidR="00B40E85" w:rsidRDefault="00C764A9" w:rsidP="00B40E85">
            <w:pPr>
              <w:pStyle w:val="NormalWeb"/>
              <w:spacing w:before="0" w:beforeAutospacing="0" w:after="240" w:afterAutospacing="0"/>
              <w:rPr>
                <w:color w:val="574C45"/>
                <w:sz w:val="20"/>
                <w:szCs w:val="20"/>
              </w:rPr>
            </w:pPr>
            <w:hyperlink r:id="rId12" w:history="1">
              <w:r w:rsidR="00B40E85" w:rsidRPr="00635FB1">
                <w:rPr>
                  <w:rStyle w:val="Hyperlink"/>
                  <w:sz w:val="20"/>
                  <w:szCs w:val="20"/>
                </w:rPr>
                <w:t xml:space="preserve">21.06 </w:t>
              </w:r>
              <w:r w:rsidR="004D530A">
                <w:rPr>
                  <w:rStyle w:val="Hyperlink"/>
                  <w:sz w:val="20"/>
                  <w:szCs w:val="20"/>
                </w:rPr>
                <w:t xml:space="preserve">F99 </w:t>
              </w:r>
              <w:r w:rsidR="00B40E85" w:rsidRPr="00635FB1">
                <w:rPr>
                  <w:rStyle w:val="Hyperlink"/>
                  <w:sz w:val="20"/>
                  <w:szCs w:val="20"/>
                </w:rPr>
                <w:t>Contract Education</w:t>
              </w:r>
            </w:hyperlink>
          </w:p>
          <w:p w14:paraId="59DA9273" w14:textId="77777777" w:rsidR="00B40E85" w:rsidRDefault="00B40E85" w:rsidP="00B40E85">
            <w:pPr>
              <w:pStyle w:val="NormalWeb"/>
              <w:spacing w:after="240"/>
              <w:rPr>
                <w:color w:val="574C45"/>
                <w:sz w:val="20"/>
                <w:szCs w:val="20"/>
              </w:rPr>
            </w:pPr>
            <w:r>
              <w:rPr>
                <w:color w:val="574C45"/>
                <w:sz w:val="20"/>
                <w:szCs w:val="20"/>
              </w:rPr>
              <w:t>E</w:t>
            </w:r>
            <w:r w:rsidRPr="00635FB1">
              <w:rPr>
                <w:color w:val="574C45"/>
                <w:sz w:val="20"/>
                <w:szCs w:val="20"/>
              </w:rPr>
              <w:t>ncourage local academic senates to work with their local collective bargaining colleagues to</w:t>
            </w:r>
            <w:r>
              <w:rPr>
                <w:color w:val="574C45"/>
                <w:sz w:val="20"/>
                <w:szCs w:val="20"/>
              </w:rPr>
              <w:t xml:space="preserve"> improve contract education by:</w:t>
            </w:r>
          </w:p>
          <w:p w14:paraId="31311966" w14:textId="77777777" w:rsidR="00B40E85" w:rsidRDefault="00B40E85" w:rsidP="00B40E85">
            <w:pPr>
              <w:pStyle w:val="NormalWeb"/>
              <w:spacing w:after="240"/>
              <w:rPr>
                <w:color w:val="574C45"/>
                <w:sz w:val="20"/>
                <w:szCs w:val="20"/>
              </w:rPr>
            </w:pPr>
            <w:r w:rsidRPr="00635FB1">
              <w:rPr>
                <w:color w:val="574C45"/>
                <w:sz w:val="20"/>
                <w:szCs w:val="20"/>
              </w:rPr>
              <w:t>a. ensuring that faculty hired for contract education programs meet</w:t>
            </w:r>
            <w:r w:rsidRPr="00635FB1">
              <w:rPr>
                <w:color w:val="574C45"/>
                <w:sz w:val="20"/>
                <w:szCs w:val="20"/>
              </w:rPr>
              <w:br/>
              <w:t>appropriate qualifications and are hired through appropriate processes jointly agreed upon by the local academic senate a</w:t>
            </w:r>
            <w:r>
              <w:rPr>
                <w:color w:val="574C45"/>
                <w:sz w:val="20"/>
                <w:szCs w:val="20"/>
              </w:rPr>
              <w:t>nd the local board of trustees;</w:t>
            </w:r>
          </w:p>
          <w:p w14:paraId="43A82CCE" w14:textId="77777777" w:rsidR="00B40E85" w:rsidRDefault="00B40E85" w:rsidP="00B40E85">
            <w:pPr>
              <w:pStyle w:val="NormalWeb"/>
              <w:spacing w:after="240"/>
              <w:rPr>
                <w:color w:val="574C45"/>
                <w:sz w:val="20"/>
                <w:szCs w:val="20"/>
              </w:rPr>
            </w:pPr>
            <w:r w:rsidRPr="00635FB1">
              <w:rPr>
                <w:color w:val="574C45"/>
                <w:sz w:val="20"/>
                <w:szCs w:val="20"/>
              </w:rPr>
              <w:t>b. ensuring that all courses offered have undergone appropriate curric</w:t>
            </w:r>
            <w:r>
              <w:rPr>
                <w:color w:val="574C45"/>
                <w:sz w:val="20"/>
                <w:szCs w:val="20"/>
              </w:rPr>
              <w:t>ulum processes; and</w:t>
            </w:r>
          </w:p>
          <w:p w14:paraId="45BE4C9B" w14:textId="308DB060" w:rsidR="00DC1D9B" w:rsidRPr="00DC1D9B" w:rsidRDefault="00B40E85" w:rsidP="00B40E85">
            <w:pPr>
              <w:rPr>
                <w:color w:val="574C45"/>
                <w:sz w:val="20"/>
                <w:szCs w:val="20"/>
              </w:rPr>
            </w:pPr>
            <w:r w:rsidRPr="00635FB1">
              <w:rPr>
                <w:color w:val="574C45"/>
                <w:sz w:val="20"/>
                <w:szCs w:val="20"/>
              </w:rPr>
              <w:t xml:space="preserve">c. removing barriers and disincentives for full-time </w:t>
            </w:r>
            <w:r w:rsidRPr="00DC1D9B">
              <w:rPr>
                <w:color w:val="574C45"/>
                <w:sz w:val="20"/>
                <w:szCs w:val="20"/>
              </w:rPr>
              <w:t>faculty participation in contract education programs and services.22.01</w:t>
            </w:r>
            <w:r w:rsidR="00DC1D9B" w:rsidRPr="00DC1D9B">
              <w:rPr>
                <w:color w:val="574C45"/>
                <w:sz w:val="20"/>
                <w:szCs w:val="20"/>
              </w:rPr>
              <w:t xml:space="preserve">. </w:t>
            </w:r>
          </w:p>
          <w:p w14:paraId="46B41317" w14:textId="77777777" w:rsidR="00DC1D9B" w:rsidRPr="00DC1D9B" w:rsidRDefault="00DC1D9B" w:rsidP="00B40E85">
            <w:pPr>
              <w:rPr>
                <w:color w:val="574C45"/>
                <w:sz w:val="20"/>
                <w:szCs w:val="20"/>
              </w:rPr>
            </w:pPr>
          </w:p>
          <w:p w14:paraId="7BC64CF3" w14:textId="49F86974" w:rsidR="00DC1D9B" w:rsidRPr="00FA3F0F" w:rsidRDefault="00FA3F0F" w:rsidP="00B40E85">
            <w:pPr>
              <w:rPr>
                <w:rStyle w:val="Hyperlink"/>
                <w:sz w:val="20"/>
                <w:szCs w:val="20"/>
              </w:rPr>
            </w:pPr>
            <w:r>
              <w:rPr>
                <w:color w:val="574C45"/>
                <w:sz w:val="20"/>
                <w:szCs w:val="20"/>
              </w:rPr>
              <w:fldChar w:fldCharType="begin"/>
            </w:r>
            <w:r>
              <w:rPr>
                <w:color w:val="574C45"/>
                <w:sz w:val="20"/>
                <w:szCs w:val="20"/>
              </w:rPr>
              <w:instrText xml:space="preserve"> HYPERLINK "http://www.asccc.org/resolutions/coineconomic-development-centers" </w:instrText>
            </w:r>
            <w:r>
              <w:rPr>
                <w:color w:val="574C45"/>
                <w:sz w:val="20"/>
                <w:szCs w:val="20"/>
              </w:rPr>
              <w:fldChar w:fldCharType="separate"/>
            </w:r>
            <w:r w:rsidR="00DC1D9B" w:rsidRPr="00FA3F0F">
              <w:rPr>
                <w:rStyle w:val="Hyperlink"/>
                <w:sz w:val="20"/>
                <w:szCs w:val="20"/>
              </w:rPr>
              <w:t xml:space="preserve">6.01 S94 COIN/Economic Development Centers </w:t>
            </w:r>
          </w:p>
          <w:p w14:paraId="59F260FA" w14:textId="77777777" w:rsidR="004D530A" w:rsidRDefault="00FA3F0F" w:rsidP="00441D63">
            <w:pPr>
              <w:rPr>
                <w:color w:val="574C45"/>
                <w:sz w:val="20"/>
                <w:szCs w:val="20"/>
              </w:rPr>
            </w:pPr>
            <w:r>
              <w:rPr>
                <w:color w:val="574C45"/>
                <w:sz w:val="20"/>
                <w:szCs w:val="20"/>
              </w:rPr>
              <w:fldChar w:fldCharType="end"/>
            </w:r>
          </w:p>
          <w:p w14:paraId="6CF9E5F4" w14:textId="1F4D7912" w:rsidR="00FA3F0F" w:rsidRPr="00FA3F0F" w:rsidRDefault="00FA3F0F" w:rsidP="00FA3F0F">
            <w:pPr>
              <w:rPr>
                <w:sz w:val="20"/>
                <w:szCs w:val="20"/>
              </w:rPr>
            </w:pPr>
            <w:r>
              <w:rPr>
                <w:sz w:val="20"/>
                <w:szCs w:val="20"/>
              </w:rPr>
              <w:t>D</w:t>
            </w:r>
            <w:r w:rsidRPr="00FA3F0F">
              <w:rPr>
                <w:sz w:val="20"/>
                <w:szCs w:val="20"/>
              </w:rPr>
              <w:t>irect the Executive Committee to conduct a state-wide study of the local colleges' use of contract education, paying particular attention to the involvement of faculty in the development and operation of such programs, including affirmative action hiring processes, and </w:t>
            </w:r>
            <w:r>
              <w:rPr>
                <w:sz w:val="20"/>
                <w:szCs w:val="20"/>
              </w:rPr>
              <w:t>p</w:t>
            </w:r>
            <w:r w:rsidRPr="00FA3F0F">
              <w:rPr>
                <w:sz w:val="20"/>
                <w:szCs w:val="20"/>
              </w:rPr>
              <w:t>romote local models of contract education that have been shown to be effective and to involve faculty substantively, and support the development of Economic Development Centers only if the involvement of faculty in the development, operation, and hiring for such programs is equivalent to that in regular programs.</w:t>
            </w:r>
          </w:p>
          <w:p w14:paraId="30C957D3" w14:textId="5F00E2C7" w:rsidR="00FA3F0F" w:rsidRPr="004D530A" w:rsidRDefault="00FA3F0F" w:rsidP="00441D63">
            <w:pPr>
              <w:rPr>
                <w:b/>
                <w:u w:val="single"/>
              </w:rPr>
            </w:pPr>
          </w:p>
        </w:tc>
        <w:tc>
          <w:tcPr>
            <w:tcW w:w="2611" w:type="dxa"/>
            <w:gridSpan w:val="3"/>
          </w:tcPr>
          <w:p w14:paraId="373B12D1" w14:textId="3CC12600" w:rsidR="00DF413E" w:rsidRPr="00CB226C" w:rsidRDefault="00DF413E" w:rsidP="0035494F">
            <w:pPr>
              <w:rPr>
                <w:b/>
                <w:color w:val="660066"/>
                <w:u w:val="single"/>
              </w:rPr>
            </w:pPr>
          </w:p>
        </w:tc>
        <w:tc>
          <w:tcPr>
            <w:tcW w:w="2886" w:type="dxa"/>
          </w:tcPr>
          <w:p w14:paraId="704DBB9B" w14:textId="2D15722B" w:rsidR="00DF413E" w:rsidRPr="00B40E85" w:rsidRDefault="00B40E85" w:rsidP="00CB226C">
            <w:pPr>
              <w:rPr>
                <w:sz w:val="20"/>
                <w:szCs w:val="20"/>
              </w:rPr>
            </w:pPr>
            <w:r w:rsidRPr="00B40E85">
              <w:rPr>
                <w:color w:val="FF0000"/>
                <w:sz w:val="20"/>
                <w:szCs w:val="20"/>
              </w:rPr>
              <w:t xml:space="preserve">ASCCC </w:t>
            </w:r>
            <w:r w:rsidR="00CB226C">
              <w:rPr>
                <w:color w:val="FF0000"/>
                <w:sz w:val="20"/>
                <w:szCs w:val="20"/>
              </w:rPr>
              <w:t>Lead and advisory</w:t>
            </w:r>
          </w:p>
        </w:tc>
      </w:tr>
      <w:tr w:rsidR="00FC0FAA" w14:paraId="3F7F5852" w14:textId="77777777" w:rsidTr="00414C13">
        <w:tc>
          <w:tcPr>
            <w:tcW w:w="13860" w:type="dxa"/>
            <w:gridSpan w:val="9"/>
          </w:tcPr>
          <w:p w14:paraId="6CBA3B3C" w14:textId="054D2663" w:rsidR="00FC0FAA" w:rsidRPr="00351727" w:rsidRDefault="00FC0FAA" w:rsidP="00FC0FAA">
            <w:pPr>
              <w:pStyle w:val="ListParagraph"/>
              <w:numPr>
                <w:ilvl w:val="0"/>
                <w:numId w:val="3"/>
              </w:numPr>
              <w:rPr>
                <w:rFonts w:ascii="Times New Roman" w:hAnsi="Times New Roman" w:cs="Times New Roman"/>
                <w:b/>
              </w:rPr>
            </w:pPr>
            <w:r w:rsidRPr="00351727">
              <w:rPr>
                <w:rFonts w:ascii="Times New Roman" w:hAnsi="Times New Roman" w:cs="Times New Roman"/>
                <w:b/>
              </w:rPr>
              <w:t xml:space="preserve">Evaluate, revise and resource the local, regional, and statewide CTE curriculum approval process to ensure timely, responsive, and streamlined curriculum approval. </w:t>
            </w:r>
          </w:p>
        </w:tc>
      </w:tr>
      <w:tr w:rsidR="007E35AB" w14:paraId="3372D7EC" w14:textId="77777777" w:rsidTr="00414C13">
        <w:tc>
          <w:tcPr>
            <w:tcW w:w="13860" w:type="dxa"/>
            <w:gridSpan w:val="9"/>
          </w:tcPr>
          <w:p w14:paraId="136C0E72" w14:textId="77777777" w:rsidR="007E35AB" w:rsidRPr="00351727" w:rsidRDefault="007E35AB" w:rsidP="007E35AB">
            <w:pPr>
              <w:pStyle w:val="ListParagraph"/>
              <w:numPr>
                <w:ilvl w:val="0"/>
                <w:numId w:val="15"/>
              </w:numPr>
              <w:rPr>
                <w:rFonts w:ascii="Times New Roman" w:hAnsi="Times New Roman" w:cs="Times New Roman"/>
                <w:b/>
                <w:u w:val="single"/>
              </w:rPr>
            </w:pPr>
            <w:r w:rsidRPr="00351727">
              <w:rPr>
                <w:rFonts w:ascii="Times New Roman" w:hAnsi="Times New Roman" w:cs="Times New Roman"/>
              </w:rPr>
              <w:t>Provide state-level coordination to ensure a streamlined curriculum approval process at the Chancellor’s Office.</w:t>
            </w:r>
          </w:p>
        </w:tc>
      </w:tr>
      <w:tr w:rsidR="007E35AB" w14:paraId="4D0E3E25" w14:textId="77777777" w:rsidTr="00053FC2">
        <w:tc>
          <w:tcPr>
            <w:tcW w:w="3016" w:type="dxa"/>
          </w:tcPr>
          <w:p w14:paraId="47A6CE99" w14:textId="362A189D" w:rsidR="00971733" w:rsidRPr="009B33D3" w:rsidRDefault="00971733" w:rsidP="009B33D3">
            <w:pPr>
              <w:pStyle w:val="ListParagraph"/>
              <w:numPr>
                <w:ilvl w:val="0"/>
                <w:numId w:val="44"/>
              </w:numPr>
              <w:ind w:left="360"/>
              <w:rPr>
                <w:rFonts w:ascii="Times New Roman" w:hAnsi="Times New Roman" w:cs="Times New Roman"/>
                <w:color w:val="000000" w:themeColor="text1"/>
                <w:sz w:val="20"/>
                <w:szCs w:val="20"/>
              </w:rPr>
            </w:pPr>
            <w:r w:rsidRPr="009B33D3">
              <w:rPr>
                <w:rFonts w:ascii="Times New Roman" w:hAnsi="Times New Roman" w:cs="Times New Roman"/>
                <w:color w:val="000000" w:themeColor="text1"/>
                <w:sz w:val="20"/>
                <w:szCs w:val="20"/>
              </w:rPr>
              <w:t>Curriculum</w:t>
            </w:r>
          </w:p>
          <w:p w14:paraId="655096E6" w14:textId="77777777" w:rsidR="00971733" w:rsidRPr="009B33D3" w:rsidRDefault="00971733" w:rsidP="009B33D3">
            <w:pPr>
              <w:pStyle w:val="ListParagraph"/>
              <w:numPr>
                <w:ilvl w:val="0"/>
                <w:numId w:val="44"/>
              </w:numPr>
              <w:ind w:left="360"/>
              <w:rPr>
                <w:rFonts w:ascii="Times New Roman" w:hAnsi="Times New Roman" w:cs="Times New Roman"/>
                <w:color w:val="000000" w:themeColor="text1"/>
                <w:sz w:val="20"/>
                <w:szCs w:val="20"/>
              </w:rPr>
            </w:pPr>
            <w:r w:rsidRPr="009B33D3">
              <w:rPr>
                <w:rFonts w:ascii="Times New Roman" w:hAnsi="Times New Roman" w:cs="Times New Roman"/>
                <w:color w:val="000000" w:themeColor="text1"/>
                <w:sz w:val="20"/>
                <w:szCs w:val="20"/>
              </w:rPr>
              <w:t>Educational Program Development</w:t>
            </w:r>
          </w:p>
          <w:p w14:paraId="57D24E87" w14:textId="77777777" w:rsidR="007E35AB" w:rsidRPr="00053FC2" w:rsidRDefault="007E35AB" w:rsidP="0035494F">
            <w:pPr>
              <w:rPr>
                <w:b/>
                <w:u w:val="single"/>
              </w:rPr>
            </w:pPr>
          </w:p>
        </w:tc>
        <w:tc>
          <w:tcPr>
            <w:tcW w:w="2675" w:type="dxa"/>
            <w:gridSpan w:val="2"/>
          </w:tcPr>
          <w:p w14:paraId="56F75B57" w14:textId="77777777" w:rsidR="007E35AB" w:rsidRDefault="007E35AB" w:rsidP="0035494F">
            <w:pPr>
              <w:rPr>
                <w:b/>
                <w:u w:val="single"/>
              </w:rPr>
            </w:pPr>
          </w:p>
          <w:p w14:paraId="3A1B6A0F" w14:textId="77777777" w:rsidR="00633BE2" w:rsidRPr="00053FC2" w:rsidRDefault="00633BE2" w:rsidP="0035494F">
            <w:pPr>
              <w:rPr>
                <w:b/>
                <w:u w:val="single"/>
              </w:rPr>
            </w:pPr>
          </w:p>
        </w:tc>
        <w:tc>
          <w:tcPr>
            <w:tcW w:w="2672" w:type="dxa"/>
            <w:gridSpan w:val="2"/>
          </w:tcPr>
          <w:p w14:paraId="6D7F963D" w14:textId="5FD9B7B5" w:rsidR="00633BE2" w:rsidRPr="00616386" w:rsidRDefault="006D02A7" w:rsidP="00633BE2">
            <w:pPr>
              <w:rPr>
                <w:rStyle w:val="Hyperlink"/>
                <w:rFonts w:eastAsia="Times New Roman"/>
                <w:sz w:val="20"/>
                <w:szCs w:val="20"/>
              </w:rPr>
            </w:pPr>
            <w:r w:rsidRPr="00616386">
              <w:rPr>
                <w:rFonts w:eastAsia="Times New Roman"/>
                <w:color w:val="574C45"/>
                <w:sz w:val="20"/>
                <w:szCs w:val="20"/>
              </w:rPr>
              <w:fldChar w:fldCharType="begin"/>
            </w:r>
            <w:r w:rsidRPr="00616386">
              <w:rPr>
                <w:rFonts w:eastAsia="Times New Roman"/>
                <w:color w:val="574C45"/>
                <w:sz w:val="20"/>
                <w:szCs w:val="20"/>
              </w:rPr>
              <w:instrText xml:space="preserve"> HYPERLINK "http://www.asccc.org/resolutions/system-office-strategic-plan-and-faculty-primacy" </w:instrText>
            </w:r>
            <w:r w:rsidRPr="00616386">
              <w:rPr>
                <w:rFonts w:eastAsia="Times New Roman"/>
                <w:color w:val="574C45"/>
                <w:sz w:val="20"/>
                <w:szCs w:val="20"/>
              </w:rPr>
              <w:fldChar w:fldCharType="separate"/>
            </w:r>
            <w:r w:rsidR="00633BE2" w:rsidRPr="00616386">
              <w:rPr>
                <w:rStyle w:val="Hyperlink"/>
                <w:rFonts w:eastAsia="Times New Roman"/>
                <w:sz w:val="20"/>
                <w:szCs w:val="20"/>
              </w:rPr>
              <w:t xml:space="preserve">7.01 F06 The System Office Strategic Plan and Faculty Primacy </w:t>
            </w:r>
          </w:p>
          <w:p w14:paraId="6A7802ED" w14:textId="36F697E5" w:rsidR="00633BE2" w:rsidRPr="00616386" w:rsidRDefault="006D02A7" w:rsidP="00633BE2">
            <w:pPr>
              <w:rPr>
                <w:rFonts w:eastAsia="Times New Roman"/>
                <w:color w:val="574C45"/>
                <w:sz w:val="20"/>
                <w:szCs w:val="20"/>
              </w:rPr>
            </w:pPr>
            <w:r w:rsidRPr="00616386">
              <w:rPr>
                <w:rFonts w:eastAsia="Times New Roman"/>
                <w:color w:val="574C45"/>
                <w:sz w:val="20"/>
                <w:szCs w:val="20"/>
              </w:rPr>
              <w:fldChar w:fldCharType="end"/>
            </w:r>
          </w:p>
          <w:p w14:paraId="650AE1A6" w14:textId="2A50B124" w:rsidR="00633BE2" w:rsidRPr="00616386" w:rsidRDefault="00633BE2" w:rsidP="00633BE2">
            <w:pPr>
              <w:rPr>
                <w:rFonts w:eastAsia="Times New Roman"/>
                <w:color w:val="574C45"/>
                <w:sz w:val="20"/>
                <w:szCs w:val="20"/>
              </w:rPr>
            </w:pPr>
            <w:r w:rsidRPr="00616386">
              <w:rPr>
                <w:rFonts w:eastAsia="Times New Roman"/>
                <w:color w:val="574C45"/>
                <w:sz w:val="20"/>
                <w:szCs w:val="20"/>
              </w:rPr>
              <w:t>O</w:t>
            </w:r>
            <w:r w:rsidRPr="00633BE2">
              <w:rPr>
                <w:rFonts w:eastAsia="Times New Roman"/>
                <w:color w:val="574C45"/>
                <w:sz w:val="20"/>
                <w:szCs w:val="20"/>
              </w:rPr>
              <w:t>ppose any efforts that weaken the role of the local curriculum committee and curriculum approval process</w:t>
            </w:r>
            <w:r w:rsidR="00616386" w:rsidRPr="00616386">
              <w:rPr>
                <w:rFonts w:eastAsia="Times New Roman"/>
                <w:color w:val="574C45"/>
                <w:sz w:val="20"/>
                <w:szCs w:val="20"/>
              </w:rPr>
              <w:t>.</w:t>
            </w:r>
          </w:p>
          <w:p w14:paraId="74A88133" w14:textId="77777777" w:rsidR="00616386" w:rsidRPr="00616386" w:rsidRDefault="00616386" w:rsidP="00633BE2">
            <w:pPr>
              <w:rPr>
                <w:rFonts w:eastAsia="Times New Roman"/>
                <w:color w:val="574C45"/>
                <w:sz w:val="20"/>
                <w:szCs w:val="20"/>
              </w:rPr>
            </w:pPr>
          </w:p>
          <w:p w14:paraId="3F76C119" w14:textId="00CF3E07" w:rsidR="00616386" w:rsidRPr="00616386" w:rsidRDefault="00C764A9" w:rsidP="00633BE2">
            <w:pPr>
              <w:rPr>
                <w:rFonts w:eastAsia="Times New Roman"/>
                <w:color w:val="574C45"/>
                <w:sz w:val="20"/>
                <w:szCs w:val="20"/>
              </w:rPr>
            </w:pPr>
            <w:hyperlink r:id="rId13" w:history="1">
              <w:r w:rsidR="00616386" w:rsidRPr="00616386">
                <w:rPr>
                  <w:rStyle w:val="Hyperlink"/>
                  <w:rFonts w:eastAsia="Times New Roman"/>
                  <w:sz w:val="20"/>
                  <w:szCs w:val="20"/>
                </w:rPr>
                <w:t>S14 9.03 Statewide Curriculum Coordination</w:t>
              </w:r>
            </w:hyperlink>
            <w:r w:rsidR="00616386" w:rsidRPr="00616386">
              <w:rPr>
                <w:rFonts w:eastAsia="Times New Roman"/>
                <w:color w:val="574C45"/>
                <w:sz w:val="20"/>
                <w:szCs w:val="20"/>
              </w:rPr>
              <w:t xml:space="preserve"> </w:t>
            </w:r>
          </w:p>
          <w:p w14:paraId="49DAA224" w14:textId="77777777" w:rsidR="00616386" w:rsidRPr="00616386" w:rsidRDefault="00616386" w:rsidP="00633BE2">
            <w:pPr>
              <w:rPr>
                <w:rFonts w:eastAsia="Times New Roman"/>
                <w:color w:val="574C45"/>
                <w:sz w:val="20"/>
                <w:szCs w:val="20"/>
              </w:rPr>
            </w:pPr>
          </w:p>
          <w:p w14:paraId="48C09332" w14:textId="69523247" w:rsidR="007E35AB" w:rsidRPr="009B33D3" w:rsidRDefault="00616386" w:rsidP="0035494F">
            <w:pPr>
              <w:rPr>
                <w:rFonts w:eastAsia="Times New Roman"/>
                <w:sz w:val="20"/>
                <w:szCs w:val="20"/>
              </w:rPr>
            </w:pPr>
            <w:r w:rsidRPr="00616386">
              <w:rPr>
                <w:rFonts w:eastAsia="Times New Roman"/>
                <w:color w:val="574C45"/>
                <w:sz w:val="20"/>
                <w:szCs w:val="20"/>
              </w:rPr>
              <w:t>Resolved, That the Academic Senate for California Community Colleges work to ensure that statewide curriculum systems remain funded, faculty driven, and inter-coordinated where appropriate so that institution-to-institution and institution-to-career pathways remain rigorous, seamless, and flexible.</w:t>
            </w:r>
          </w:p>
        </w:tc>
        <w:tc>
          <w:tcPr>
            <w:tcW w:w="2611" w:type="dxa"/>
            <w:gridSpan w:val="3"/>
          </w:tcPr>
          <w:p w14:paraId="1EDBC586" w14:textId="4A2E3273" w:rsidR="00971733" w:rsidRPr="009B33D3" w:rsidRDefault="00971733" w:rsidP="0035494F">
            <w:pPr>
              <w:rPr>
                <w:color w:val="000000" w:themeColor="text1"/>
                <w:sz w:val="20"/>
                <w:szCs w:val="20"/>
              </w:rPr>
            </w:pPr>
            <w:r w:rsidRPr="004A7E6A">
              <w:rPr>
                <w:color w:val="000000" w:themeColor="text1"/>
                <w:sz w:val="20"/>
                <w:szCs w:val="20"/>
              </w:rPr>
              <w:t>Chancellor’s Office</w:t>
            </w:r>
            <w:r w:rsidR="009B33D3">
              <w:rPr>
                <w:color w:val="000000" w:themeColor="text1"/>
                <w:sz w:val="20"/>
                <w:szCs w:val="20"/>
              </w:rPr>
              <w:t xml:space="preserve">; </w:t>
            </w:r>
            <w:r w:rsidRPr="004A7E6A">
              <w:rPr>
                <w:color w:val="000000" w:themeColor="text1"/>
                <w:sz w:val="20"/>
                <w:szCs w:val="20"/>
              </w:rPr>
              <w:t>SACC</w:t>
            </w:r>
          </w:p>
        </w:tc>
        <w:tc>
          <w:tcPr>
            <w:tcW w:w="2886" w:type="dxa"/>
          </w:tcPr>
          <w:p w14:paraId="70356FC8" w14:textId="7AC4FBC4" w:rsidR="007E35AB" w:rsidRPr="00DC1D9B" w:rsidRDefault="00DC1D9B" w:rsidP="00A44595">
            <w:pPr>
              <w:rPr>
                <w:sz w:val="20"/>
                <w:szCs w:val="20"/>
              </w:rPr>
            </w:pPr>
            <w:r w:rsidRPr="00DC1D9B">
              <w:rPr>
                <w:color w:val="FF0000"/>
                <w:sz w:val="20"/>
                <w:szCs w:val="20"/>
              </w:rPr>
              <w:t xml:space="preserve">ASCCC </w:t>
            </w:r>
            <w:r w:rsidR="00A44595">
              <w:rPr>
                <w:color w:val="FF0000"/>
                <w:sz w:val="20"/>
                <w:szCs w:val="20"/>
              </w:rPr>
              <w:t xml:space="preserve">Advisory to </w:t>
            </w:r>
            <w:r>
              <w:rPr>
                <w:color w:val="FF0000"/>
                <w:sz w:val="20"/>
                <w:szCs w:val="20"/>
              </w:rPr>
              <w:t>CO</w:t>
            </w:r>
          </w:p>
        </w:tc>
      </w:tr>
      <w:tr w:rsidR="007E35AB" w14:paraId="74DDD69D" w14:textId="77777777" w:rsidTr="00414C13">
        <w:tc>
          <w:tcPr>
            <w:tcW w:w="13860" w:type="dxa"/>
            <w:gridSpan w:val="9"/>
          </w:tcPr>
          <w:p w14:paraId="36730043" w14:textId="2D432513" w:rsidR="007E35AB" w:rsidRPr="00351727" w:rsidRDefault="007E35AB" w:rsidP="007E35AB">
            <w:pPr>
              <w:pStyle w:val="ListParagraph"/>
              <w:numPr>
                <w:ilvl w:val="0"/>
                <w:numId w:val="15"/>
              </w:numPr>
              <w:rPr>
                <w:rFonts w:ascii="Times New Roman" w:hAnsi="Times New Roman" w:cs="Times New Roman"/>
                <w:b/>
                <w:u w:val="single"/>
              </w:rPr>
            </w:pPr>
            <w:r w:rsidRPr="00351727">
              <w:rPr>
                <w:rFonts w:ascii="Times New Roman" w:hAnsi="Times New Roman" w:cs="Times New Roman"/>
              </w:rPr>
              <w:t>Provide sufficient staffing and resources in the Chancellor's Office to accelerate the state-level curriculum approval process.</w:t>
            </w:r>
          </w:p>
        </w:tc>
      </w:tr>
      <w:tr w:rsidR="007E35AB" w14:paraId="170AFC6E" w14:textId="77777777" w:rsidTr="00053FC2">
        <w:tc>
          <w:tcPr>
            <w:tcW w:w="3016" w:type="dxa"/>
          </w:tcPr>
          <w:p w14:paraId="7D7F41CA" w14:textId="77777777" w:rsidR="007E35AB" w:rsidRPr="00351727" w:rsidRDefault="007E35AB" w:rsidP="0035494F">
            <w:pPr>
              <w:rPr>
                <w:b/>
                <w:u w:val="single"/>
              </w:rPr>
            </w:pPr>
          </w:p>
        </w:tc>
        <w:tc>
          <w:tcPr>
            <w:tcW w:w="2675" w:type="dxa"/>
            <w:gridSpan w:val="2"/>
          </w:tcPr>
          <w:p w14:paraId="160BCCDC" w14:textId="77777777" w:rsidR="007E35AB" w:rsidRPr="00351727" w:rsidRDefault="007E35AB" w:rsidP="0035494F">
            <w:pPr>
              <w:rPr>
                <w:b/>
                <w:u w:val="single"/>
              </w:rPr>
            </w:pPr>
          </w:p>
        </w:tc>
        <w:tc>
          <w:tcPr>
            <w:tcW w:w="2672" w:type="dxa"/>
            <w:gridSpan w:val="2"/>
          </w:tcPr>
          <w:p w14:paraId="5DBECBBE" w14:textId="77777777" w:rsidR="007E35AB" w:rsidRPr="00351727" w:rsidRDefault="007E35AB" w:rsidP="0035494F">
            <w:pPr>
              <w:rPr>
                <w:b/>
                <w:u w:val="single"/>
              </w:rPr>
            </w:pPr>
          </w:p>
        </w:tc>
        <w:tc>
          <w:tcPr>
            <w:tcW w:w="2611" w:type="dxa"/>
            <w:gridSpan w:val="3"/>
          </w:tcPr>
          <w:p w14:paraId="7B9B1E39" w14:textId="77777777" w:rsidR="007E35AB" w:rsidRPr="00351727" w:rsidRDefault="007E35AB" w:rsidP="0035494F">
            <w:pPr>
              <w:rPr>
                <w:b/>
                <w:u w:val="single"/>
              </w:rPr>
            </w:pPr>
          </w:p>
        </w:tc>
        <w:tc>
          <w:tcPr>
            <w:tcW w:w="2886" w:type="dxa"/>
          </w:tcPr>
          <w:p w14:paraId="08E3679F" w14:textId="7A17EFB9" w:rsidR="007E35AB" w:rsidRPr="00351727" w:rsidRDefault="00DC1D9B" w:rsidP="0035494F">
            <w:pPr>
              <w:rPr>
                <w:color w:val="FF0000"/>
                <w:sz w:val="20"/>
                <w:szCs w:val="20"/>
              </w:rPr>
            </w:pPr>
            <w:r w:rsidRPr="00351727">
              <w:rPr>
                <w:color w:val="FF0000"/>
                <w:sz w:val="20"/>
                <w:szCs w:val="20"/>
              </w:rPr>
              <w:t xml:space="preserve">ASCCC Advisory Role </w:t>
            </w:r>
          </w:p>
        </w:tc>
      </w:tr>
      <w:tr w:rsidR="007E35AB" w14:paraId="042F08E7" w14:textId="77777777" w:rsidTr="00414C13">
        <w:tc>
          <w:tcPr>
            <w:tcW w:w="13860" w:type="dxa"/>
            <w:gridSpan w:val="9"/>
          </w:tcPr>
          <w:p w14:paraId="1B82CE3F" w14:textId="77777777" w:rsidR="007E35AB" w:rsidRPr="00351727" w:rsidRDefault="007E35AB" w:rsidP="007E35AB">
            <w:pPr>
              <w:pStyle w:val="ListParagraph"/>
              <w:numPr>
                <w:ilvl w:val="0"/>
                <w:numId w:val="15"/>
              </w:numPr>
              <w:rPr>
                <w:rFonts w:ascii="Times New Roman" w:hAnsi="Times New Roman" w:cs="Times New Roman"/>
                <w:b/>
                <w:u w:val="single"/>
              </w:rPr>
            </w:pPr>
            <w:r w:rsidRPr="00351727">
              <w:rPr>
                <w:rFonts w:ascii="Times New Roman" w:hAnsi="Times New Roman" w:cs="Times New Roman"/>
              </w:rPr>
              <w:t>Identify and disseminate effective practices in local curricula adoption and revision processes and provide technical assistance for faculty and colleges.</w:t>
            </w:r>
          </w:p>
        </w:tc>
      </w:tr>
      <w:tr w:rsidR="007E35AB" w14:paraId="106C7D14" w14:textId="77777777" w:rsidTr="00053FC2">
        <w:tc>
          <w:tcPr>
            <w:tcW w:w="3016" w:type="dxa"/>
          </w:tcPr>
          <w:p w14:paraId="03EBEF7B" w14:textId="32D1DA10" w:rsidR="00971733" w:rsidRPr="009B33D3" w:rsidRDefault="00971733" w:rsidP="009B33D3">
            <w:pPr>
              <w:pStyle w:val="ListParagraph"/>
              <w:numPr>
                <w:ilvl w:val="0"/>
                <w:numId w:val="45"/>
              </w:numPr>
              <w:ind w:left="360"/>
              <w:rPr>
                <w:rFonts w:ascii="Times New Roman" w:hAnsi="Times New Roman" w:cs="Times New Roman"/>
                <w:color w:val="000000" w:themeColor="text1"/>
                <w:sz w:val="20"/>
                <w:szCs w:val="20"/>
              </w:rPr>
            </w:pPr>
            <w:r w:rsidRPr="009B33D3">
              <w:rPr>
                <w:rFonts w:ascii="Times New Roman" w:hAnsi="Times New Roman" w:cs="Times New Roman"/>
                <w:color w:val="000000" w:themeColor="text1"/>
                <w:sz w:val="20"/>
                <w:szCs w:val="20"/>
              </w:rPr>
              <w:t>Curriculum</w:t>
            </w:r>
          </w:p>
          <w:p w14:paraId="333946FB" w14:textId="77777777" w:rsidR="007E35AB" w:rsidRPr="009B33D3" w:rsidRDefault="00971733" w:rsidP="009B33D3">
            <w:pPr>
              <w:pStyle w:val="ListParagraph"/>
              <w:numPr>
                <w:ilvl w:val="0"/>
                <w:numId w:val="45"/>
              </w:numPr>
              <w:ind w:left="360"/>
              <w:rPr>
                <w:rFonts w:ascii="Times New Roman" w:hAnsi="Times New Roman" w:cs="Times New Roman"/>
                <w:color w:val="000000" w:themeColor="text1"/>
                <w:sz w:val="20"/>
                <w:szCs w:val="20"/>
              </w:rPr>
            </w:pPr>
            <w:r w:rsidRPr="009B33D3">
              <w:rPr>
                <w:rFonts w:ascii="Times New Roman" w:hAnsi="Times New Roman" w:cs="Times New Roman"/>
                <w:color w:val="000000" w:themeColor="text1"/>
                <w:sz w:val="20"/>
                <w:szCs w:val="20"/>
              </w:rPr>
              <w:t>Educational Program Development</w:t>
            </w:r>
          </w:p>
          <w:p w14:paraId="1B753A5F" w14:textId="3764CD59" w:rsidR="00971733" w:rsidRPr="009B33D3" w:rsidRDefault="00971733" w:rsidP="009B33D3">
            <w:pPr>
              <w:pStyle w:val="ListParagraph"/>
              <w:numPr>
                <w:ilvl w:val="0"/>
                <w:numId w:val="45"/>
              </w:numPr>
              <w:ind w:left="360"/>
              <w:rPr>
                <w:b/>
                <w:color w:val="008000"/>
                <w:u w:val="single"/>
              </w:rPr>
            </w:pPr>
            <w:r w:rsidRPr="009B33D3">
              <w:rPr>
                <w:rFonts w:ascii="Times New Roman" w:hAnsi="Times New Roman" w:cs="Times New Roman"/>
                <w:color w:val="000000" w:themeColor="text1"/>
                <w:sz w:val="20"/>
                <w:szCs w:val="20"/>
              </w:rPr>
              <w:t>Processes for program review</w:t>
            </w:r>
          </w:p>
        </w:tc>
        <w:tc>
          <w:tcPr>
            <w:tcW w:w="2675" w:type="dxa"/>
            <w:gridSpan w:val="2"/>
          </w:tcPr>
          <w:p w14:paraId="7B4D07AE" w14:textId="77777777" w:rsidR="007E35AB" w:rsidRPr="00053FC2" w:rsidRDefault="007E35AB" w:rsidP="0035494F">
            <w:pPr>
              <w:rPr>
                <w:b/>
                <w:u w:val="single"/>
              </w:rPr>
            </w:pPr>
          </w:p>
        </w:tc>
        <w:tc>
          <w:tcPr>
            <w:tcW w:w="2672" w:type="dxa"/>
            <w:gridSpan w:val="2"/>
          </w:tcPr>
          <w:p w14:paraId="1BB41ADF" w14:textId="6513FD1D" w:rsidR="007E35AB" w:rsidRPr="00F62012" w:rsidRDefault="00F62012" w:rsidP="0035494F">
            <w:pPr>
              <w:rPr>
                <w:rStyle w:val="Hyperlink"/>
                <w:sz w:val="20"/>
                <w:szCs w:val="20"/>
              </w:rPr>
            </w:pPr>
            <w:r>
              <w:rPr>
                <w:sz w:val="20"/>
                <w:szCs w:val="20"/>
              </w:rPr>
              <w:fldChar w:fldCharType="begin"/>
            </w:r>
            <w:r>
              <w:rPr>
                <w:sz w:val="20"/>
                <w:szCs w:val="20"/>
              </w:rPr>
              <w:instrText xml:space="preserve"> HYPERLINK "http://www.asccc.org/resolutions/evaluation-effectiveness-local-curriculum-processes" </w:instrText>
            </w:r>
            <w:r>
              <w:rPr>
                <w:sz w:val="20"/>
                <w:szCs w:val="20"/>
              </w:rPr>
              <w:fldChar w:fldCharType="separate"/>
            </w:r>
            <w:r w:rsidRPr="00F62012">
              <w:rPr>
                <w:rStyle w:val="Hyperlink"/>
                <w:sz w:val="20"/>
                <w:szCs w:val="20"/>
              </w:rPr>
              <w:t xml:space="preserve">9.08 F15 Evaluation of the Effectiveness of Local Curriculum Processes </w:t>
            </w:r>
          </w:p>
          <w:p w14:paraId="4AE238AC" w14:textId="77777777" w:rsidR="00F62012" w:rsidRDefault="00F62012" w:rsidP="0035494F">
            <w:pPr>
              <w:rPr>
                <w:sz w:val="20"/>
                <w:szCs w:val="20"/>
              </w:rPr>
            </w:pPr>
            <w:r>
              <w:rPr>
                <w:sz w:val="20"/>
                <w:szCs w:val="20"/>
              </w:rPr>
              <w:fldChar w:fldCharType="end"/>
            </w:r>
          </w:p>
          <w:p w14:paraId="41D2EE91" w14:textId="18A9A433" w:rsidR="00F62012" w:rsidRPr="00F62012" w:rsidRDefault="00F62012" w:rsidP="00F62012">
            <w:pPr>
              <w:rPr>
                <w:sz w:val="20"/>
                <w:szCs w:val="20"/>
              </w:rPr>
            </w:pPr>
            <w:r>
              <w:rPr>
                <w:sz w:val="20"/>
                <w:szCs w:val="20"/>
              </w:rPr>
              <w:t>S</w:t>
            </w:r>
            <w:r w:rsidRPr="00F62012">
              <w:rPr>
                <w:sz w:val="20"/>
                <w:szCs w:val="20"/>
              </w:rPr>
              <w:t>trongly urge local senates and curriculum committees to evaluate their curriculum approval processes in order to ensure that curriculum is developed, revised, and implemented in a timely manner, while preserving the integrity and rigor of the review process.</w:t>
            </w:r>
          </w:p>
          <w:p w14:paraId="552C8EC1" w14:textId="6541A7A0" w:rsidR="00F62012" w:rsidRPr="00053FC2" w:rsidRDefault="00F62012" w:rsidP="0035494F">
            <w:pPr>
              <w:rPr>
                <w:b/>
                <w:u w:val="single"/>
              </w:rPr>
            </w:pPr>
          </w:p>
        </w:tc>
        <w:tc>
          <w:tcPr>
            <w:tcW w:w="2611" w:type="dxa"/>
            <w:gridSpan w:val="3"/>
          </w:tcPr>
          <w:p w14:paraId="296D555C" w14:textId="77777777" w:rsidR="007E35AB" w:rsidRPr="00053FC2" w:rsidRDefault="007E35AB" w:rsidP="0035494F">
            <w:pPr>
              <w:rPr>
                <w:b/>
                <w:u w:val="single"/>
              </w:rPr>
            </w:pPr>
          </w:p>
        </w:tc>
        <w:tc>
          <w:tcPr>
            <w:tcW w:w="2886" w:type="dxa"/>
          </w:tcPr>
          <w:p w14:paraId="62707CB1" w14:textId="3F0CFD9D" w:rsidR="007E35AB" w:rsidRPr="009B33D3" w:rsidRDefault="00F62012" w:rsidP="0035494F">
            <w:pPr>
              <w:rPr>
                <w:sz w:val="20"/>
                <w:szCs w:val="20"/>
              </w:rPr>
            </w:pPr>
            <w:r w:rsidRPr="009B33D3">
              <w:rPr>
                <w:color w:val="FF0000"/>
                <w:sz w:val="20"/>
                <w:szCs w:val="20"/>
              </w:rPr>
              <w:t>ASCCC Lead</w:t>
            </w:r>
          </w:p>
        </w:tc>
      </w:tr>
      <w:tr w:rsidR="00FC0FAA" w14:paraId="03D1846F" w14:textId="77777777" w:rsidTr="00414C13">
        <w:tc>
          <w:tcPr>
            <w:tcW w:w="13860" w:type="dxa"/>
            <w:gridSpan w:val="9"/>
          </w:tcPr>
          <w:p w14:paraId="2D071586" w14:textId="6777AE9B" w:rsidR="00FC0FAA" w:rsidRPr="00351727" w:rsidRDefault="00FC0FAA" w:rsidP="00FC0FAA">
            <w:pPr>
              <w:pStyle w:val="ListParagraph"/>
              <w:numPr>
                <w:ilvl w:val="0"/>
                <w:numId w:val="3"/>
              </w:numPr>
              <w:rPr>
                <w:rFonts w:ascii="Times New Roman" w:hAnsi="Times New Roman" w:cs="Times New Roman"/>
                <w:b/>
              </w:rPr>
            </w:pPr>
            <w:r w:rsidRPr="00351727">
              <w:rPr>
                <w:rFonts w:ascii="Times New Roman" w:hAnsi="Times New Roman" w:cs="Times New Roman"/>
                <w:b/>
              </w:rPr>
              <w:t xml:space="preserve">Improve program review, evaluation, and revision processes to ensure program relevance to students, business, and industry as reflected in labor market data. </w:t>
            </w:r>
          </w:p>
        </w:tc>
      </w:tr>
      <w:tr w:rsidR="007E35AB" w14:paraId="78D9357A" w14:textId="77777777" w:rsidTr="00414C13">
        <w:tc>
          <w:tcPr>
            <w:tcW w:w="13860" w:type="dxa"/>
            <w:gridSpan w:val="9"/>
          </w:tcPr>
          <w:p w14:paraId="17D24622" w14:textId="77777777" w:rsidR="007E35AB" w:rsidRPr="00351727" w:rsidRDefault="007E35AB" w:rsidP="007E35AB">
            <w:pPr>
              <w:pStyle w:val="ListParagraph"/>
              <w:numPr>
                <w:ilvl w:val="0"/>
                <w:numId w:val="16"/>
              </w:numPr>
              <w:rPr>
                <w:rFonts w:ascii="Times New Roman" w:hAnsi="Times New Roman" w:cs="Times New Roman"/>
                <w:b/>
                <w:u w:val="single"/>
              </w:rPr>
            </w:pPr>
            <w:r w:rsidRPr="00351727">
              <w:rPr>
                <w:rFonts w:ascii="Times New Roman" w:hAnsi="Times New Roman" w:cs="Times New Roman"/>
              </w:rPr>
              <w:t>Engage employers, workforce boards, economic development entities, and other workforce organizations with faculty in the program development and review process.</w:t>
            </w:r>
          </w:p>
        </w:tc>
      </w:tr>
      <w:tr w:rsidR="007E35AB" w14:paraId="107664FE" w14:textId="77777777" w:rsidTr="00053FC2">
        <w:tc>
          <w:tcPr>
            <w:tcW w:w="3016" w:type="dxa"/>
          </w:tcPr>
          <w:p w14:paraId="37D164A5" w14:textId="3B1E04DA" w:rsidR="00971733" w:rsidRPr="009B33D3" w:rsidRDefault="000D05CD" w:rsidP="009B33D3">
            <w:pPr>
              <w:pStyle w:val="ListParagraph"/>
              <w:numPr>
                <w:ilvl w:val="0"/>
                <w:numId w:val="46"/>
              </w:numPr>
              <w:ind w:left="360"/>
              <w:rPr>
                <w:rFonts w:ascii="Times New Roman" w:hAnsi="Times New Roman" w:cs="Times New Roman"/>
                <w:sz w:val="20"/>
                <w:szCs w:val="20"/>
              </w:rPr>
            </w:pPr>
            <w:r w:rsidRPr="009B33D3">
              <w:rPr>
                <w:rFonts w:ascii="Times New Roman" w:hAnsi="Times New Roman" w:cs="Times New Roman"/>
                <w:sz w:val="20"/>
                <w:szCs w:val="20"/>
              </w:rPr>
              <w:t xml:space="preserve">Process for program review </w:t>
            </w:r>
          </w:p>
          <w:p w14:paraId="3FE59330" w14:textId="699B069E" w:rsidR="00971733" w:rsidRPr="009B33D3" w:rsidRDefault="00971733" w:rsidP="0035494F">
            <w:pPr>
              <w:pStyle w:val="ListParagraph"/>
              <w:numPr>
                <w:ilvl w:val="0"/>
                <w:numId w:val="46"/>
              </w:numPr>
              <w:ind w:left="360"/>
              <w:rPr>
                <w:rFonts w:ascii="Times New Roman" w:hAnsi="Times New Roman" w:cs="Times New Roman"/>
                <w:color w:val="000000" w:themeColor="text1"/>
                <w:sz w:val="20"/>
                <w:szCs w:val="20"/>
              </w:rPr>
            </w:pPr>
            <w:r w:rsidRPr="009B33D3">
              <w:rPr>
                <w:rFonts w:ascii="Times New Roman" w:hAnsi="Times New Roman" w:cs="Times New Roman"/>
                <w:color w:val="000000" w:themeColor="text1"/>
                <w:sz w:val="20"/>
                <w:szCs w:val="20"/>
              </w:rPr>
              <w:t>Educational Program Development</w:t>
            </w:r>
          </w:p>
        </w:tc>
        <w:tc>
          <w:tcPr>
            <w:tcW w:w="2675" w:type="dxa"/>
            <w:gridSpan w:val="2"/>
          </w:tcPr>
          <w:p w14:paraId="654C7AAB" w14:textId="77777777" w:rsidR="007E35AB" w:rsidRPr="00053FC2" w:rsidRDefault="007E35AB" w:rsidP="0035494F">
            <w:pPr>
              <w:rPr>
                <w:b/>
                <w:u w:val="single"/>
              </w:rPr>
            </w:pPr>
          </w:p>
        </w:tc>
        <w:tc>
          <w:tcPr>
            <w:tcW w:w="2672" w:type="dxa"/>
            <w:gridSpan w:val="2"/>
          </w:tcPr>
          <w:p w14:paraId="6885CA73" w14:textId="2C98393A" w:rsidR="005966B3" w:rsidRPr="009424C0" w:rsidRDefault="005966B3" w:rsidP="005966B3">
            <w:pPr>
              <w:rPr>
                <w:rStyle w:val="Hyperlink"/>
                <w:rFonts w:eastAsia="Times New Roman"/>
                <w:sz w:val="20"/>
                <w:szCs w:val="20"/>
              </w:rPr>
            </w:pPr>
            <w:r w:rsidRPr="009424C0">
              <w:rPr>
                <w:rFonts w:eastAsia="Times New Roman"/>
                <w:color w:val="574C45"/>
                <w:sz w:val="20"/>
                <w:szCs w:val="20"/>
              </w:rPr>
              <w:fldChar w:fldCharType="begin"/>
            </w:r>
            <w:r w:rsidRPr="009424C0">
              <w:rPr>
                <w:rFonts w:eastAsia="Times New Roman"/>
                <w:color w:val="574C45"/>
                <w:sz w:val="20"/>
                <w:szCs w:val="20"/>
              </w:rPr>
              <w:instrText xml:space="preserve"> HYPERLINK "http://www.asccc.org/resolutions/research-tools-program-review" </w:instrText>
            </w:r>
            <w:r w:rsidRPr="009424C0">
              <w:rPr>
                <w:rFonts w:eastAsia="Times New Roman"/>
                <w:color w:val="574C45"/>
                <w:sz w:val="20"/>
                <w:szCs w:val="20"/>
              </w:rPr>
              <w:fldChar w:fldCharType="separate"/>
            </w:r>
            <w:r w:rsidRPr="009424C0">
              <w:rPr>
                <w:rStyle w:val="Hyperlink"/>
                <w:rFonts w:eastAsia="Times New Roman"/>
                <w:sz w:val="20"/>
                <w:szCs w:val="20"/>
              </w:rPr>
              <w:t>7.05 S14 Research Tools for Program Review</w:t>
            </w:r>
          </w:p>
          <w:p w14:paraId="6FB49297" w14:textId="3049192F" w:rsidR="005966B3" w:rsidRPr="009424C0" w:rsidRDefault="005966B3" w:rsidP="005966B3">
            <w:pPr>
              <w:rPr>
                <w:rFonts w:eastAsia="Times New Roman"/>
                <w:color w:val="574C45"/>
                <w:sz w:val="20"/>
                <w:szCs w:val="20"/>
              </w:rPr>
            </w:pPr>
            <w:r w:rsidRPr="009424C0">
              <w:rPr>
                <w:rFonts w:eastAsia="Times New Roman"/>
                <w:color w:val="574C45"/>
                <w:sz w:val="20"/>
                <w:szCs w:val="20"/>
              </w:rPr>
              <w:fldChar w:fldCharType="end"/>
            </w:r>
          </w:p>
          <w:p w14:paraId="0567571E" w14:textId="371BDAA6" w:rsidR="005966B3" w:rsidRPr="009424C0" w:rsidRDefault="009424C0" w:rsidP="005966B3">
            <w:pPr>
              <w:rPr>
                <w:rFonts w:eastAsia="Times New Roman"/>
                <w:color w:val="574C45"/>
                <w:sz w:val="20"/>
                <w:szCs w:val="20"/>
              </w:rPr>
            </w:pPr>
            <w:r>
              <w:rPr>
                <w:rFonts w:eastAsia="Times New Roman"/>
                <w:color w:val="574C45"/>
                <w:sz w:val="20"/>
                <w:szCs w:val="20"/>
              </w:rPr>
              <w:t>W</w:t>
            </w:r>
            <w:r w:rsidR="005966B3" w:rsidRPr="009424C0">
              <w:rPr>
                <w:rFonts w:eastAsia="Times New Roman"/>
                <w:color w:val="574C45"/>
                <w:sz w:val="20"/>
                <w:szCs w:val="20"/>
              </w:rPr>
              <w:t>ork with the California Community College Chancellor’s Office and other appropriate agencies to further develop research tools that offer quantitative, qualitative and meaningful data for local program review processes.</w:t>
            </w:r>
          </w:p>
          <w:p w14:paraId="66D8321F" w14:textId="77777777" w:rsidR="005966B3" w:rsidRDefault="005966B3" w:rsidP="005966B3">
            <w:pPr>
              <w:rPr>
                <w:rFonts w:ascii="Lucida Grande" w:eastAsia="Times New Roman" w:hAnsi="Lucida Grande" w:cs="Lucida Grande"/>
                <w:color w:val="574C45"/>
                <w:sz w:val="18"/>
                <w:szCs w:val="18"/>
              </w:rPr>
            </w:pPr>
          </w:p>
          <w:p w14:paraId="0F07B71E" w14:textId="4A2E0FC1" w:rsidR="005966B3" w:rsidRPr="009424C0" w:rsidRDefault="009424C0" w:rsidP="005966B3">
            <w:pPr>
              <w:rPr>
                <w:rStyle w:val="Hyperlink"/>
                <w:rFonts w:eastAsia="Times New Roman"/>
                <w:sz w:val="20"/>
                <w:szCs w:val="20"/>
              </w:rPr>
            </w:pPr>
            <w:r>
              <w:rPr>
                <w:rFonts w:eastAsia="Times New Roman"/>
                <w:color w:val="574C45"/>
                <w:sz w:val="20"/>
                <w:szCs w:val="20"/>
              </w:rPr>
              <w:fldChar w:fldCharType="begin"/>
            </w:r>
            <w:r>
              <w:rPr>
                <w:rFonts w:eastAsia="Times New Roman"/>
                <w:color w:val="574C45"/>
                <w:sz w:val="20"/>
                <w:szCs w:val="20"/>
              </w:rPr>
              <w:instrText xml:space="preserve"> HYPERLINK "http://www.asccc.org/resolutions/redefinition-student-success" </w:instrText>
            </w:r>
            <w:r>
              <w:rPr>
                <w:rFonts w:eastAsia="Times New Roman"/>
                <w:color w:val="574C45"/>
                <w:sz w:val="20"/>
                <w:szCs w:val="20"/>
              </w:rPr>
              <w:fldChar w:fldCharType="separate"/>
            </w:r>
            <w:r w:rsidR="005966B3" w:rsidRPr="009424C0">
              <w:rPr>
                <w:rStyle w:val="Hyperlink"/>
                <w:rFonts w:eastAsia="Times New Roman"/>
                <w:sz w:val="20"/>
                <w:szCs w:val="20"/>
              </w:rPr>
              <w:t>13.02 F12 Redefinition of Student Success</w:t>
            </w:r>
          </w:p>
          <w:p w14:paraId="3608A3EF" w14:textId="43A0ACD1" w:rsidR="005966B3" w:rsidRPr="009424C0" w:rsidRDefault="009424C0" w:rsidP="005966B3">
            <w:pPr>
              <w:rPr>
                <w:rFonts w:eastAsia="Times New Roman"/>
                <w:color w:val="574C45"/>
                <w:sz w:val="20"/>
                <w:szCs w:val="20"/>
              </w:rPr>
            </w:pPr>
            <w:r>
              <w:rPr>
                <w:rFonts w:eastAsia="Times New Roman"/>
                <w:color w:val="574C45"/>
                <w:sz w:val="20"/>
                <w:szCs w:val="20"/>
              </w:rPr>
              <w:fldChar w:fldCharType="end"/>
            </w:r>
          </w:p>
          <w:p w14:paraId="5D15143E" w14:textId="77777777" w:rsidR="003E76AD" w:rsidRDefault="009424C0" w:rsidP="009424C0">
            <w:pPr>
              <w:pStyle w:val="NormalWeb"/>
              <w:spacing w:before="0" w:beforeAutospacing="0" w:after="240" w:afterAutospacing="0"/>
              <w:rPr>
                <w:color w:val="574C45"/>
                <w:sz w:val="20"/>
                <w:szCs w:val="20"/>
              </w:rPr>
            </w:pPr>
            <w:r w:rsidRPr="009424C0">
              <w:rPr>
                <w:color w:val="574C45"/>
                <w:sz w:val="20"/>
                <w:szCs w:val="20"/>
              </w:rPr>
              <w:t>A</w:t>
            </w:r>
            <w:r w:rsidR="005966B3" w:rsidRPr="009424C0">
              <w:rPr>
                <w:color w:val="574C45"/>
                <w:sz w:val="20"/>
                <w:szCs w:val="20"/>
              </w:rPr>
              <w:t>ffirm that student success should be defined to include a broad range of student completion outcomes including completion of a single courses for a variety of individual goals as identified in the mission of California community colleges; and</w:t>
            </w:r>
            <w:r w:rsidR="001A6886">
              <w:rPr>
                <w:color w:val="574C45"/>
                <w:sz w:val="20"/>
                <w:szCs w:val="20"/>
              </w:rPr>
              <w:t xml:space="preserve"> </w:t>
            </w:r>
            <w:r w:rsidR="005966B3" w:rsidRPr="009424C0">
              <w:rPr>
                <w:color w:val="574C45"/>
                <w:sz w:val="20"/>
                <w:szCs w:val="20"/>
              </w:rPr>
              <w:t>partner with colleges to research additional quantitative and qualitative data that may be used in addition to the required ARCC data on a college’s scorecard and report the results of this research by Fall 2013.</w:t>
            </w:r>
          </w:p>
          <w:p w14:paraId="0CB67960" w14:textId="0415E48C" w:rsidR="003E76AD" w:rsidRPr="003E76AD" w:rsidRDefault="003E76AD" w:rsidP="009424C0">
            <w:pPr>
              <w:pStyle w:val="NormalWeb"/>
              <w:spacing w:before="0" w:beforeAutospacing="0" w:after="240" w:afterAutospacing="0"/>
              <w:rPr>
                <w:rStyle w:val="Hyperlink"/>
                <w:sz w:val="20"/>
                <w:szCs w:val="20"/>
              </w:rPr>
            </w:pPr>
            <w:r>
              <w:rPr>
                <w:color w:val="574C45"/>
                <w:sz w:val="20"/>
                <w:szCs w:val="20"/>
              </w:rPr>
              <w:fldChar w:fldCharType="begin"/>
            </w:r>
            <w:r>
              <w:rPr>
                <w:color w:val="574C45"/>
                <w:sz w:val="20"/>
                <w:szCs w:val="20"/>
              </w:rPr>
              <w:instrText xml:space="preserve"> HYPERLINK "http://www.asccc.org/resolutions/cte-program-review" </w:instrText>
            </w:r>
            <w:r>
              <w:rPr>
                <w:color w:val="574C45"/>
                <w:sz w:val="20"/>
                <w:szCs w:val="20"/>
              </w:rPr>
              <w:fldChar w:fldCharType="separate"/>
            </w:r>
            <w:r w:rsidRPr="003E76AD">
              <w:rPr>
                <w:rStyle w:val="Hyperlink"/>
                <w:sz w:val="20"/>
                <w:szCs w:val="20"/>
              </w:rPr>
              <w:t>21.02 S12 CTE Program Review</w:t>
            </w:r>
          </w:p>
          <w:p w14:paraId="420AD0FB" w14:textId="7B59CF9C" w:rsidR="003E76AD" w:rsidRPr="009B33D3" w:rsidRDefault="003E76AD" w:rsidP="009B33D3">
            <w:pPr>
              <w:rPr>
                <w:rFonts w:eastAsia="Times New Roman"/>
                <w:sz w:val="20"/>
                <w:szCs w:val="20"/>
              </w:rPr>
            </w:pPr>
            <w:r>
              <w:rPr>
                <w:color w:val="574C45"/>
                <w:sz w:val="20"/>
                <w:szCs w:val="20"/>
              </w:rPr>
              <w:fldChar w:fldCharType="end"/>
            </w:r>
            <w:r w:rsidRPr="003E76AD">
              <w:rPr>
                <w:rFonts w:eastAsia="Times New Roman"/>
                <w:color w:val="574C45"/>
                <w:sz w:val="20"/>
                <w:szCs w:val="20"/>
              </w:rPr>
              <w:t>Develop and publish resources on methods and effective practices for streamlining the program review processes for CTE programs.</w:t>
            </w:r>
          </w:p>
        </w:tc>
        <w:tc>
          <w:tcPr>
            <w:tcW w:w="2611" w:type="dxa"/>
            <w:gridSpan w:val="3"/>
          </w:tcPr>
          <w:p w14:paraId="34000560" w14:textId="77777777" w:rsidR="007E35AB" w:rsidRPr="00053FC2" w:rsidRDefault="007E35AB" w:rsidP="0035494F">
            <w:pPr>
              <w:rPr>
                <w:b/>
                <w:u w:val="single"/>
              </w:rPr>
            </w:pPr>
          </w:p>
        </w:tc>
        <w:tc>
          <w:tcPr>
            <w:tcW w:w="2886" w:type="dxa"/>
          </w:tcPr>
          <w:p w14:paraId="7FDB05B1" w14:textId="40731950" w:rsidR="007E35AB" w:rsidRPr="000D05CD" w:rsidRDefault="000D05CD" w:rsidP="0035494F">
            <w:pPr>
              <w:rPr>
                <w:sz w:val="20"/>
                <w:szCs w:val="20"/>
              </w:rPr>
            </w:pPr>
            <w:r w:rsidRPr="000D05CD">
              <w:rPr>
                <w:color w:val="FF0000"/>
                <w:sz w:val="20"/>
                <w:szCs w:val="20"/>
              </w:rPr>
              <w:t>ASCCC Lead</w:t>
            </w:r>
          </w:p>
        </w:tc>
      </w:tr>
      <w:tr w:rsidR="007E35AB" w14:paraId="791DD259" w14:textId="77777777" w:rsidTr="00414C13">
        <w:tc>
          <w:tcPr>
            <w:tcW w:w="13860" w:type="dxa"/>
            <w:gridSpan w:val="9"/>
          </w:tcPr>
          <w:p w14:paraId="290D2A55" w14:textId="4F5B0C19" w:rsidR="007E35AB" w:rsidRPr="00351727" w:rsidRDefault="007E35AB" w:rsidP="007E35AB">
            <w:pPr>
              <w:pStyle w:val="ListParagraph"/>
              <w:numPr>
                <w:ilvl w:val="0"/>
                <w:numId w:val="16"/>
              </w:numPr>
              <w:rPr>
                <w:rFonts w:ascii="Times New Roman" w:hAnsi="Times New Roman" w:cs="Times New Roman"/>
                <w:b/>
                <w:u w:val="single"/>
              </w:rPr>
            </w:pPr>
            <w:r w:rsidRPr="00351727">
              <w:rPr>
                <w:rFonts w:ascii="Times New Roman" w:hAnsi="Times New Roman" w:cs="Times New Roman"/>
              </w:rPr>
              <w:t>Promote effective practices for program improvement (retooling) and program discontinuance based upon labor market data, student outcomes and input from students, faculty, college staff, employers, and workforce partners.</w:t>
            </w:r>
          </w:p>
        </w:tc>
      </w:tr>
      <w:tr w:rsidR="007E35AB" w14:paraId="2027BC9B" w14:textId="77777777" w:rsidTr="00053FC2">
        <w:tc>
          <w:tcPr>
            <w:tcW w:w="3016" w:type="dxa"/>
          </w:tcPr>
          <w:p w14:paraId="081B8783" w14:textId="49D9BD18" w:rsidR="007E35AB" w:rsidRPr="00351727" w:rsidRDefault="008F08B2" w:rsidP="0035494F">
            <w:pPr>
              <w:rPr>
                <w:sz w:val="20"/>
                <w:szCs w:val="20"/>
              </w:rPr>
            </w:pPr>
            <w:r w:rsidRPr="00351727">
              <w:rPr>
                <w:color w:val="000000" w:themeColor="text1"/>
                <w:sz w:val="20"/>
                <w:szCs w:val="20"/>
              </w:rPr>
              <w:t>Processes for program review</w:t>
            </w:r>
          </w:p>
        </w:tc>
        <w:tc>
          <w:tcPr>
            <w:tcW w:w="2675" w:type="dxa"/>
            <w:gridSpan w:val="2"/>
          </w:tcPr>
          <w:p w14:paraId="232A64B7" w14:textId="77777777" w:rsidR="007E35AB" w:rsidRPr="00351727" w:rsidRDefault="007E35AB" w:rsidP="0035494F">
            <w:pPr>
              <w:rPr>
                <w:b/>
                <w:u w:val="single"/>
              </w:rPr>
            </w:pPr>
          </w:p>
        </w:tc>
        <w:tc>
          <w:tcPr>
            <w:tcW w:w="2672" w:type="dxa"/>
            <w:gridSpan w:val="2"/>
          </w:tcPr>
          <w:p w14:paraId="47E87315" w14:textId="7E8CE3EC" w:rsidR="007E35AB" w:rsidRPr="009B33D3" w:rsidRDefault="006B744A" w:rsidP="0035494F">
            <w:pPr>
              <w:rPr>
                <w:sz w:val="20"/>
                <w:szCs w:val="20"/>
              </w:rPr>
            </w:pPr>
            <w:r w:rsidRPr="009B33D3">
              <w:rPr>
                <w:sz w:val="20"/>
                <w:szCs w:val="20"/>
              </w:rPr>
              <w:t xml:space="preserve">See 9a. </w:t>
            </w:r>
          </w:p>
          <w:p w14:paraId="2C6675D5" w14:textId="77777777" w:rsidR="001A6886" w:rsidRPr="009B33D3" w:rsidRDefault="001A6886" w:rsidP="0035494F">
            <w:pPr>
              <w:rPr>
                <w:b/>
                <w:sz w:val="20"/>
                <w:szCs w:val="20"/>
                <w:u w:val="single"/>
              </w:rPr>
            </w:pPr>
          </w:p>
        </w:tc>
        <w:tc>
          <w:tcPr>
            <w:tcW w:w="2611" w:type="dxa"/>
            <w:gridSpan w:val="3"/>
          </w:tcPr>
          <w:p w14:paraId="71C32C71" w14:textId="77777777" w:rsidR="007E35AB" w:rsidRPr="00351727" w:rsidRDefault="007E35AB" w:rsidP="0035494F">
            <w:pPr>
              <w:rPr>
                <w:b/>
                <w:u w:val="single"/>
              </w:rPr>
            </w:pPr>
          </w:p>
        </w:tc>
        <w:tc>
          <w:tcPr>
            <w:tcW w:w="2886" w:type="dxa"/>
          </w:tcPr>
          <w:p w14:paraId="678CD080" w14:textId="19C57A10" w:rsidR="007E35AB" w:rsidRPr="00351727" w:rsidRDefault="001A6886" w:rsidP="0035494F">
            <w:pPr>
              <w:rPr>
                <w:b/>
                <w:u w:val="single"/>
              </w:rPr>
            </w:pPr>
            <w:r w:rsidRPr="00351727">
              <w:rPr>
                <w:color w:val="FF0000"/>
                <w:sz w:val="20"/>
                <w:szCs w:val="20"/>
              </w:rPr>
              <w:t>ASCCC Lead</w:t>
            </w:r>
          </w:p>
        </w:tc>
      </w:tr>
      <w:tr w:rsidR="00FC0FAA" w14:paraId="296C9744" w14:textId="77777777" w:rsidTr="00414C13">
        <w:tc>
          <w:tcPr>
            <w:tcW w:w="13860" w:type="dxa"/>
            <w:gridSpan w:val="9"/>
          </w:tcPr>
          <w:p w14:paraId="2F7B54AF" w14:textId="77777777" w:rsidR="00FC0FAA" w:rsidRPr="00351727" w:rsidRDefault="00FC0FAA" w:rsidP="00FC0FAA">
            <w:pPr>
              <w:pStyle w:val="ListParagraph"/>
              <w:numPr>
                <w:ilvl w:val="0"/>
                <w:numId w:val="3"/>
              </w:numPr>
              <w:rPr>
                <w:rFonts w:ascii="Times New Roman" w:hAnsi="Times New Roman" w:cs="Times New Roman"/>
                <w:b/>
                <w:u w:val="single"/>
              </w:rPr>
            </w:pPr>
            <w:r w:rsidRPr="00351727">
              <w:rPr>
                <w:rFonts w:ascii="Times New Roman" w:hAnsi="Times New Roman" w:cs="Times New Roman"/>
                <w:b/>
              </w:rPr>
              <w:t>Facilitate curricular portability across institutions.</w:t>
            </w:r>
          </w:p>
        </w:tc>
      </w:tr>
      <w:tr w:rsidR="007E35AB" w14:paraId="3569DD52" w14:textId="77777777" w:rsidTr="00414C13">
        <w:tc>
          <w:tcPr>
            <w:tcW w:w="13860" w:type="dxa"/>
            <w:gridSpan w:val="9"/>
          </w:tcPr>
          <w:p w14:paraId="45F3CF70" w14:textId="77777777" w:rsidR="007E35AB" w:rsidRPr="00351727" w:rsidRDefault="007E35AB" w:rsidP="007E35AB">
            <w:pPr>
              <w:pStyle w:val="ListParagraph"/>
              <w:numPr>
                <w:ilvl w:val="0"/>
                <w:numId w:val="17"/>
              </w:numPr>
              <w:rPr>
                <w:rFonts w:ascii="Times New Roman" w:hAnsi="Times New Roman" w:cs="Times New Roman"/>
                <w:b/>
                <w:u w:val="single"/>
              </w:rPr>
            </w:pPr>
            <w:r w:rsidRPr="00351727">
              <w:rPr>
                <w:rFonts w:ascii="Times New Roman" w:hAnsi="Times New Roman" w:cs="Times New Roman"/>
              </w:rPr>
              <w:t>Scale up and resource the “C-ID” (course identifier) system for CTE courses, certificates and degrees to enable articulation across institutions.</w:t>
            </w:r>
          </w:p>
        </w:tc>
      </w:tr>
      <w:tr w:rsidR="007E35AB" w14:paraId="6437A27E" w14:textId="77777777" w:rsidTr="00053FC2">
        <w:tc>
          <w:tcPr>
            <w:tcW w:w="3016" w:type="dxa"/>
          </w:tcPr>
          <w:p w14:paraId="4DC0A3B4" w14:textId="77777777" w:rsidR="008F08B2" w:rsidRPr="004A7E6A" w:rsidRDefault="008F08B2" w:rsidP="008F08B2">
            <w:pPr>
              <w:rPr>
                <w:color w:val="000000" w:themeColor="text1"/>
                <w:sz w:val="20"/>
                <w:szCs w:val="20"/>
              </w:rPr>
            </w:pPr>
            <w:r w:rsidRPr="004A7E6A">
              <w:rPr>
                <w:color w:val="000000" w:themeColor="text1"/>
                <w:sz w:val="20"/>
                <w:szCs w:val="20"/>
              </w:rPr>
              <w:t>Curriculum</w:t>
            </w:r>
          </w:p>
          <w:p w14:paraId="395C6044" w14:textId="77777777" w:rsidR="007E35AB" w:rsidRPr="00053FC2" w:rsidRDefault="007E35AB" w:rsidP="0035494F">
            <w:pPr>
              <w:rPr>
                <w:b/>
                <w:u w:val="single"/>
              </w:rPr>
            </w:pPr>
          </w:p>
        </w:tc>
        <w:tc>
          <w:tcPr>
            <w:tcW w:w="2675" w:type="dxa"/>
            <w:gridSpan w:val="2"/>
          </w:tcPr>
          <w:p w14:paraId="27E5E380" w14:textId="77777777" w:rsidR="007E35AB" w:rsidRPr="00053FC2" w:rsidRDefault="007E35AB" w:rsidP="0035494F">
            <w:pPr>
              <w:rPr>
                <w:b/>
                <w:u w:val="single"/>
              </w:rPr>
            </w:pPr>
          </w:p>
        </w:tc>
        <w:tc>
          <w:tcPr>
            <w:tcW w:w="2672" w:type="dxa"/>
            <w:gridSpan w:val="2"/>
          </w:tcPr>
          <w:p w14:paraId="5773E1CE" w14:textId="4DD75A89" w:rsidR="007E35AB" w:rsidRDefault="00351C49" w:rsidP="0035494F">
            <w:pPr>
              <w:rPr>
                <w:sz w:val="20"/>
                <w:szCs w:val="20"/>
              </w:rPr>
            </w:pPr>
            <w:r>
              <w:rPr>
                <w:sz w:val="20"/>
                <w:szCs w:val="20"/>
              </w:rPr>
              <w:t xml:space="preserve">C-ID has already expanded C-ID to accommodate CTE programs, courses, degrees, and </w:t>
            </w:r>
            <w:r w:rsidR="00C3674A">
              <w:rPr>
                <w:sz w:val="20"/>
                <w:szCs w:val="20"/>
              </w:rPr>
              <w:t>certificates</w:t>
            </w:r>
            <w:r>
              <w:rPr>
                <w:sz w:val="20"/>
                <w:szCs w:val="20"/>
              </w:rPr>
              <w:t xml:space="preserve">.  </w:t>
            </w:r>
          </w:p>
          <w:p w14:paraId="39557453" w14:textId="77777777" w:rsidR="00351C49" w:rsidRPr="00351C49" w:rsidRDefault="00351C49" w:rsidP="0035494F">
            <w:pPr>
              <w:rPr>
                <w:sz w:val="20"/>
                <w:szCs w:val="20"/>
              </w:rPr>
            </w:pPr>
          </w:p>
        </w:tc>
        <w:tc>
          <w:tcPr>
            <w:tcW w:w="2611" w:type="dxa"/>
            <w:gridSpan w:val="3"/>
          </w:tcPr>
          <w:p w14:paraId="1E5C714A" w14:textId="77777777" w:rsidR="007E35AB" w:rsidRPr="00053FC2" w:rsidRDefault="007E35AB" w:rsidP="0035494F">
            <w:pPr>
              <w:rPr>
                <w:b/>
                <w:u w:val="single"/>
              </w:rPr>
            </w:pPr>
          </w:p>
        </w:tc>
        <w:tc>
          <w:tcPr>
            <w:tcW w:w="2886" w:type="dxa"/>
          </w:tcPr>
          <w:p w14:paraId="5B72F541" w14:textId="6C140795" w:rsidR="007E35AB" w:rsidRPr="00053FC2" w:rsidRDefault="00351C49" w:rsidP="0035494F">
            <w:pPr>
              <w:rPr>
                <w:b/>
                <w:u w:val="single"/>
              </w:rPr>
            </w:pPr>
            <w:r w:rsidRPr="000D05CD">
              <w:rPr>
                <w:color w:val="FF0000"/>
                <w:sz w:val="20"/>
                <w:szCs w:val="20"/>
              </w:rPr>
              <w:t>ASCCC Lead</w:t>
            </w:r>
            <w:r>
              <w:rPr>
                <w:color w:val="FF0000"/>
                <w:sz w:val="20"/>
                <w:szCs w:val="20"/>
              </w:rPr>
              <w:t xml:space="preserve"> with C-ID </w:t>
            </w:r>
          </w:p>
        </w:tc>
      </w:tr>
      <w:tr w:rsidR="007E35AB" w14:paraId="4C70514D" w14:textId="77777777" w:rsidTr="00414C13">
        <w:tc>
          <w:tcPr>
            <w:tcW w:w="13860" w:type="dxa"/>
            <w:gridSpan w:val="9"/>
          </w:tcPr>
          <w:p w14:paraId="45619A7C" w14:textId="13AA6D49" w:rsidR="007E35AB" w:rsidRPr="00351727" w:rsidRDefault="007E35AB" w:rsidP="007E35AB">
            <w:pPr>
              <w:pStyle w:val="ListParagraph"/>
              <w:numPr>
                <w:ilvl w:val="0"/>
                <w:numId w:val="17"/>
              </w:numPr>
              <w:rPr>
                <w:rFonts w:ascii="Times New Roman" w:hAnsi="Times New Roman" w:cs="Times New Roman"/>
                <w:b/>
                <w:u w:val="single"/>
              </w:rPr>
            </w:pPr>
            <w:r w:rsidRPr="00351727">
              <w:rPr>
                <w:rFonts w:ascii="Times New Roman" w:hAnsi="Times New Roman" w:cs="Times New Roman"/>
              </w:rPr>
              <w:t>Disseminate effective practices for streamlining and improving processes for recognizing prior learning and work experience and awarding credits or advanced placement toward CTE pathways.</w:t>
            </w:r>
          </w:p>
        </w:tc>
      </w:tr>
      <w:tr w:rsidR="007E35AB" w14:paraId="2A9AAE29" w14:textId="77777777" w:rsidTr="00053FC2">
        <w:tc>
          <w:tcPr>
            <w:tcW w:w="3016" w:type="dxa"/>
          </w:tcPr>
          <w:p w14:paraId="72550655" w14:textId="77777777" w:rsidR="008F08B2" w:rsidRPr="00351727" w:rsidRDefault="008F08B2" w:rsidP="008F08B2">
            <w:pPr>
              <w:rPr>
                <w:color w:val="000000" w:themeColor="text1"/>
                <w:sz w:val="20"/>
                <w:szCs w:val="20"/>
              </w:rPr>
            </w:pPr>
            <w:r w:rsidRPr="00351727">
              <w:rPr>
                <w:color w:val="000000" w:themeColor="text1"/>
                <w:sz w:val="20"/>
                <w:szCs w:val="20"/>
              </w:rPr>
              <w:t>Curriculum</w:t>
            </w:r>
          </w:p>
          <w:p w14:paraId="0BEBD10A" w14:textId="77777777" w:rsidR="007E35AB" w:rsidRPr="00351727" w:rsidRDefault="007E35AB" w:rsidP="0035494F">
            <w:pPr>
              <w:rPr>
                <w:b/>
                <w:u w:val="single"/>
              </w:rPr>
            </w:pPr>
          </w:p>
        </w:tc>
        <w:tc>
          <w:tcPr>
            <w:tcW w:w="2675" w:type="dxa"/>
            <w:gridSpan w:val="2"/>
          </w:tcPr>
          <w:p w14:paraId="70BF2CD8" w14:textId="77777777" w:rsidR="007E35AB" w:rsidRPr="00351727" w:rsidRDefault="007E35AB" w:rsidP="0035494F">
            <w:pPr>
              <w:rPr>
                <w:b/>
                <w:u w:val="single"/>
              </w:rPr>
            </w:pPr>
          </w:p>
        </w:tc>
        <w:tc>
          <w:tcPr>
            <w:tcW w:w="2672" w:type="dxa"/>
            <w:gridSpan w:val="2"/>
          </w:tcPr>
          <w:p w14:paraId="71284DDB" w14:textId="77777777" w:rsidR="007E35AB" w:rsidRPr="00351727" w:rsidRDefault="007E35AB" w:rsidP="0035494F">
            <w:pPr>
              <w:rPr>
                <w:b/>
                <w:u w:val="single"/>
              </w:rPr>
            </w:pPr>
          </w:p>
        </w:tc>
        <w:tc>
          <w:tcPr>
            <w:tcW w:w="2611" w:type="dxa"/>
            <w:gridSpan w:val="3"/>
          </w:tcPr>
          <w:p w14:paraId="323FC046" w14:textId="77777777" w:rsidR="007E35AB" w:rsidRPr="00351727" w:rsidRDefault="007E35AB" w:rsidP="0035494F">
            <w:pPr>
              <w:rPr>
                <w:b/>
                <w:u w:val="single"/>
              </w:rPr>
            </w:pPr>
          </w:p>
        </w:tc>
        <w:tc>
          <w:tcPr>
            <w:tcW w:w="2886" w:type="dxa"/>
          </w:tcPr>
          <w:p w14:paraId="52BFFEB1" w14:textId="0CA49946" w:rsidR="007E35AB" w:rsidRPr="00351727" w:rsidRDefault="00351C49" w:rsidP="0035494F">
            <w:pPr>
              <w:rPr>
                <w:b/>
                <w:u w:val="single"/>
              </w:rPr>
            </w:pPr>
            <w:r w:rsidRPr="00351727">
              <w:rPr>
                <w:color w:val="FF0000"/>
                <w:sz w:val="20"/>
                <w:szCs w:val="20"/>
              </w:rPr>
              <w:t>ASCCC Lead</w:t>
            </w:r>
          </w:p>
        </w:tc>
      </w:tr>
      <w:tr w:rsidR="007E35AB" w:rsidRPr="007E35AB" w14:paraId="3633D571" w14:textId="77777777" w:rsidTr="00414C13">
        <w:tc>
          <w:tcPr>
            <w:tcW w:w="13860" w:type="dxa"/>
            <w:gridSpan w:val="9"/>
          </w:tcPr>
          <w:p w14:paraId="0B1816EA" w14:textId="77777777" w:rsidR="007E35AB" w:rsidRPr="00351727" w:rsidRDefault="007E35AB" w:rsidP="007E35AB">
            <w:pPr>
              <w:pStyle w:val="ListParagraph"/>
              <w:numPr>
                <w:ilvl w:val="0"/>
                <w:numId w:val="17"/>
              </w:numPr>
              <w:rPr>
                <w:rFonts w:ascii="Times New Roman" w:hAnsi="Times New Roman" w:cs="Times New Roman"/>
                <w:b/>
                <w:u w:val="single"/>
              </w:rPr>
            </w:pPr>
            <w:r w:rsidRPr="00351727">
              <w:rPr>
                <w:rFonts w:ascii="Times New Roman" w:hAnsi="Times New Roman" w:cs="Times New Roman"/>
              </w:rPr>
              <w:t>Enable and encourage faculty and colleges, in consultation with industry, to develop industry-driven, competency-based and portable pathways that include stackable components and modularized curricula, work-based learning opportunities, and other support services.</w:t>
            </w:r>
          </w:p>
        </w:tc>
      </w:tr>
      <w:tr w:rsidR="007E35AB" w14:paraId="096C4DEB" w14:textId="77777777" w:rsidTr="00053FC2">
        <w:tc>
          <w:tcPr>
            <w:tcW w:w="3016" w:type="dxa"/>
          </w:tcPr>
          <w:p w14:paraId="5B2F9F0E" w14:textId="031C8CF7" w:rsidR="008F08B2" w:rsidRPr="003863F4" w:rsidRDefault="008F08B2" w:rsidP="003863F4">
            <w:pPr>
              <w:pStyle w:val="ListParagraph"/>
              <w:numPr>
                <w:ilvl w:val="0"/>
                <w:numId w:val="47"/>
              </w:numPr>
              <w:ind w:left="360"/>
              <w:rPr>
                <w:rFonts w:ascii="Times New Roman" w:hAnsi="Times New Roman" w:cs="Times New Roman"/>
                <w:color w:val="000000" w:themeColor="text1"/>
                <w:sz w:val="20"/>
                <w:szCs w:val="20"/>
              </w:rPr>
            </w:pPr>
            <w:r w:rsidRPr="003863F4">
              <w:rPr>
                <w:rFonts w:ascii="Times New Roman" w:hAnsi="Times New Roman" w:cs="Times New Roman"/>
                <w:color w:val="000000" w:themeColor="text1"/>
                <w:sz w:val="20"/>
                <w:szCs w:val="20"/>
              </w:rPr>
              <w:t>Curriculum</w:t>
            </w:r>
          </w:p>
          <w:p w14:paraId="7D901FFF" w14:textId="53AA54B4" w:rsidR="008F08B2" w:rsidRPr="003863F4" w:rsidRDefault="008F08B2" w:rsidP="0035494F">
            <w:pPr>
              <w:pStyle w:val="ListParagraph"/>
              <w:numPr>
                <w:ilvl w:val="0"/>
                <w:numId w:val="47"/>
              </w:numPr>
              <w:ind w:left="360"/>
              <w:rPr>
                <w:rFonts w:ascii="Times New Roman" w:hAnsi="Times New Roman" w:cs="Times New Roman"/>
                <w:color w:val="000000" w:themeColor="text1"/>
                <w:sz w:val="20"/>
                <w:szCs w:val="20"/>
              </w:rPr>
            </w:pPr>
            <w:r w:rsidRPr="003863F4">
              <w:rPr>
                <w:rFonts w:ascii="Times New Roman" w:hAnsi="Times New Roman" w:cs="Times New Roman"/>
                <w:color w:val="000000" w:themeColor="text1"/>
                <w:sz w:val="20"/>
                <w:szCs w:val="20"/>
              </w:rPr>
              <w:t>Educational Program Development</w:t>
            </w:r>
          </w:p>
        </w:tc>
        <w:tc>
          <w:tcPr>
            <w:tcW w:w="2675" w:type="dxa"/>
            <w:gridSpan w:val="2"/>
          </w:tcPr>
          <w:p w14:paraId="1D287293" w14:textId="77777777" w:rsidR="007E35AB" w:rsidRPr="00351727" w:rsidRDefault="007E35AB" w:rsidP="0035494F">
            <w:pPr>
              <w:rPr>
                <w:b/>
                <w:u w:val="single"/>
              </w:rPr>
            </w:pPr>
          </w:p>
        </w:tc>
        <w:tc>
          <w:tcPr>
            <w:tcW w:w="2672" w:type="dxa"/>
            <w:gridSpan w:val="2"/>
          </w:tcPr>
          <w:p w14:paraId="33C02B79" w14:textId="77777777" w:rsidR="007E35AB" w:rsidRPr="00351727" w:rsidRDefault="007E35AB" w:rsidP="0035494F">
            <w:pPr>
              <w:rPr>
                <w:b/>
                <w:u w:val="single"/>
              </w:rPr>
            </w:pPr>
          </w:p>
        </w:tc>
        <w:tc>
          <w:tcPr>
            <w:tcW w:w="2611" w:type="dxa"/>
            <w:gridSpan w:val="3"/>
          </w:tcPr>
          <w:p w14:paraId="6E509207" w14:textId="77777777" w:rsidR="007E35AB" w:rsidRPr="00351727" w:rsidRDefault="007E35AB" w:rsidP="0035494F">
            <w:pPr>
              <w:rPr>
                <w:b/>
                <w:u w:val="single"/>
              </w:rPr>
            </w:pPr>
          </w:p>
        </w:tc>
        <w:tc>
          <w:tcPr>
            <w:tcW w:w="2886" w:type="dxa"/>
          </w:tcPr>
          <w:p w14:paraId="23FF04EA" w14:textId="52663A9E" w:rsidR="007E35AB" w:rsidRPr="00351727" w:rsidRDefault="00D433FD" w:rsidP="0035494F">
            <w:pPr>
              <w:rPr>
                <w:b/>
                <w:u w:val="single"/>
              </w:rPr>
            </w:pPr>
            <w:r w:rsidRPr="00351727">
              <w:rPr>
                <w:color w:val="FF0000"/>
                <w:sz w:val="20"/>
                <w:szCs w:val="20"/>
              </w:rPr>
              <w:t xml:space="preserve">ASCCC Lead – C-ID </w:t>
            </w:r>
          </w:p>
        </w:tc>
      </w:tr>
      <w:tr w:rsidR="00A02ABC" w14:paraId="64AEBEF6" w14:textId="77777777" w:rsidTr="00414C13">
        <w:tc>
          <w:tcPr>
            <w:tcW w:w="13860" w:type="dxa"/>
            <w:gridSpan w:val="9"/>
          </w:tcPr>
          <w:p w14:paraId="1AF5D9BC" w14:textId="77777777" w:rsidR="00A02ABC" w:rsidRPr="00351727" w:rsidRDefault="00A02ABC" w:rsidP="00A02ABC">
            <w:pPr>
              <w:pStyle w:val="ListParagraph"/>
              <w:numPr>
                <w:ilvl w:val="0"/>
                <w:numId w:val="3"/>
              </w:numPr>
              <w:rPr>
                <w:rFonts w:ascii="Times New Roman" w:hAnsi="Times New Roman" w:cs="Times New Roman"/>
                <w:b/>
                <w:u w:val="single"/>
              </w:rPr>
            </w:pPr>
            <w:r w:rsidRPr="00351727">
              <w:rPr>
                <w:rFonts w:ascii="Times New Roman" w:hAnsi="Times New Roman" w:cs="Times New Roman"/>
                <w:b/>
              </w:rPr>
              <w:t>Develop, identify and disseminate effective CTE practices.</w:t>
            </w:r>
          </w:p>
        </w:tc>
      </w:tr>
      <w:tr w:rsidR="007E35AB" w14:paraId="3198EB77" w14:textId="77777777" w:rsidTr="00414C13">
        <w:tc>
          <w:tcPr>
            <w:tcW w:w="13860" w:type="dxa"/>
            <w:gridSpan w:val="9"/>
          </w:tcPr>
          <w:p w14:paraId="1EE0D004" w14:textId="77777777" w:rsidR="007E35AB" w:rsidRPr="00351727" w:rsidRDefault="007E35AB" w:rsidP="007E35AB">
            <w:pPr>
              <w:pStyle w:val="ListParagraph"/>
              <w:numPr>
                <w:ilvl w:val="0"/>
                <w:numId w:val="18"/>
              </w:numPr>
              <w:rPr>
                <w:rFonts w:ascii="Times New Roman" w:hAnsi="Times New Roman" w:cs="Times New Roman"/>
                <w:b/>
                <w:u w:val="single"/>
              </w:rPr>
            </w:pPr>
            <w:r w:rsidRPr="00351727">
              <w:rPr>
                <w:rFonts w:ascii="Times New Roman" w:hAnsi="Times New Roman" w:cs="Times New Roman"/>
              </w:rPr>
              <w:t>Develop a website repository of CTE model curricula that faculty and colleges can select and adapt to their own needs.</w:t>
            </w:r>
          </w:p>
        </w:tc>
      </w:tr>
      <w:tr w:rsidR="007E35AB" w14:paraId="6CA47952" w14:textId="77777777" w:rsidTr="00053FC2">
        <w:tc>
          <w:tcPr>
            <w:tcW w:w="3016" w:type="dxa"/>
          </w:tcPr>
          <w:p w14:paraId="0EA01356" w14:textId="6DEEF954" w:rsidR="008F08B2" w:rsidRPr="003863F4" w:rsidRDefault="008F08B2" w:rsidP="003863F4">
            <w:pPr>
              <w:pStyle w:val="ListParagraph"/>
              <w:numPr>
                <w:ilvl w:val="0"/>
                <w:numId w:val="48"/>
              </w:numPr>
              <w:ind w:left="360"/>
              <w:rPr>
                <w:rFonts w:ascii="Times New Roman" w:hAnsi="Times New Roman" w:cs="Times New Roman"/>
                <w:color w:val="000000" w:themeColor="text1"/>
                <w:sz w:val="20"/>
                <w:szCs w:val="20"/>
              </w:rPr>
            </w:pPr>
            <w:r w:rsidRPr="003863F4">
              <w:rPr>
                <w:rFonts w:ascii="Times New Roman" w:hAnsi="Times New Roman" w:cs="Times New Roman"/>
                <w:color w:val="000000" w:themeColor="text1"/>
                <w:sz w:val="20"/>
                <w:szCs w:val="20"/>
              </w:rPr>
              <w:t>Curriculum</w:t>
            </w:r>
          </w:p>
          <w:p w14:paraId="528E0F0B" w14:textId="471AEBBC" w:rsidR="007E35AB" w:rsidRPr="003863F4" w:rsidRDefault="008F08B2" w:rsidP="0035494F">
            <w:pPr>
              <w:pStyle w:val="ListParagraph"/>
              <w:numPr>
                <w:ilvl w:val="0"/>
                <w:numId w:val="48"/>
              </w:numPr>
              <w:ind w:left="360"/>
              <w:rPr>
                <w:rFonts w:ascii="Times New Roman" w:hAnsi="Times New Roman" w:cs="Times New Roman"/>
                <w:color w:val="000000" w:themeColor="text1"/>
                <w:sz w:val="20"/>
                <w:szCs w:val="20"/>
              </w:rPr>
            </w:pPr>
            <w:r w:rsidRPr="003863F4">
              <w:rPr>
                <w:rFonts w:ascii="Times New Roman" w:hAnsi="Times New Roman" w:cs="Times New Roman"/>
                <w:color w:val="000000" w:themeColor="text1"/>
                <w:sz w:val="20"/>
                <w:szCs w:val="20"/>
              </w:rPr>
              <w:t>Educational Program Development</w:t>
            </w:r>
          </w:p>
        </w:tc>
        <w:tc>
          <w:tcPr>
            <w:tcW w:w="2675" w:type="dxa"/>
            <w:gridSpan w:val="2"/>
          </w:tcPr>
          <w:p w14:paraId="2EE3F888" w14:textId="77777777" w:rsidR="007E35AB" w:rsidRPr="00053FC2" w:rsidRDefault="007E35AB" w:rsidP="0035494F">
            <w:pPr>
              <w:rPr>
                <w:b/>
                <w:u w:val="single"/>
              </w:rPr>
            </w:pPr>
          </w:p>
        </w:tc>
        <w:tc>
          <w:tcPr>
            <w:tcW w:w="2672" w:type="dxa"/>
            <w:gridSpan w:val="2"/>
          </w:tcPr>
          <w:p w14:paraId="7AC24395" w14:textId="77777777" w:rsidR="007E35AB" w:rsidRPr="00053FC2" w:rsidRDefault="007E35AB" w:rsidP="0035494F">
            <w:pPr>
              <w:rPr>
                <w:b/>
                <w:u w:val="single"/>
              </w:rPr>
            </w:pPr>
          </w:p>
        </w:tc>
        <w:tc>
          <w:tcPr>
            <w:tcW w:w="2611" w:type="dxa"/>
            <w:gridSpan w:val="3"/>
          </w:tcPr>
          <w:p w14:paraId="09A7A497" w14:textId="77777777" w:rsidR="007E35AB" w:rsidRPr="00053FC2" w:rsidRDefault="007E35AB" w:rsidP="0035494F">
            <w:pPr>
              <w:rPr>
                <w:b/>
                <w:u w:val="single"/>
              </w:rPr>
            </w:pPr>
          </w:p>
        </w:tc>
        <w:tc>
          <w:tcPr>
            <w:tcW w:w="2886" w:type="dxa"/>
          </w:tcPr>
          <w:p w14:paraId="7F61F943" w14:textId="4AA1FBE2" w:rsidR="007E35AB" w:rsidRPr="00053FC2" w:rsidRDefault="000F5AE5" w:rsidP="0035494F">
            <w:pPr>
              <w:rPr>
                <w:b/>
                <w:u w:val="single"/>
              </w:rPr>
            </w:pPr>
            <w:r w:rsidRPr="000D05CD">
              <w:rPr>
                <w:color w:val="FF0000"/>
                <w:sz w:val="20"/>
                <w:szCs w:val="20"/>
              </w:rPr>
              <w:t>ASCCC Lead</w:t>
            </w:r>
            <w:r>
              <w:rPr>
                <w:color w:val="FF0000"/>
                <w:sz w:val="20"/>
                <w:szCs w:val="20"/>
              </w:rPr>
              <w:t xml:space="preserve"> – C-ID</w:t>
            </w:r>
          </w:p>
        </w:tc>
      </w:tr>
      <w:tr w:rsidR="007E35AB" w14:paraId="3406FB29" w14:textId="77777777" w:rsidTr="00414C13">
        <w:tc>
          <w:tcPr>
            <w:tcW w:w="13860" w:type="dxa"/>
            <w:gridSpan w:val="9"/>
          </w:tcPr>
          <w:p w14:paraId="7CCF33E6" w14:textId="77777777" w:rsidR="007E35AB" w:rsidRPr="007E35AB" w:rsidRDefault="007E35AB" w:rsidP="007E35AB">
            <w:pPr>
              <w:pStyle w:val="ListParagraph"/>
              <w:numPr>
                <w:ilvl w:val="0"/>
                <w:numId w:val="18"/>
              </w:numPr>
              <w:rPr>
                <w:b/>
                <w:u w:val="single"/>
              </w:rPr>
            </w:pPr>
            <w:r w:rsidRPr="007E35AB">
              <w:t>Develop an interactive system where regional industry stakeholders can provide feedback to both validate and enhance the quality of CTE programs.</w:t>
            </w:r>
          </w:p>
        </w:tc>
      </w:tr>
      <w:tr w:rsidR="007E35AB" w14:paraId="16CBC4B0" w14:textId="77777777" w:rsidTr="00053FC2">
        <w:tc>
          <w:tcPr>
            <w:tcW w:w="3016" w:type="dxa"/>
          </w:tcPr>
          <w:p w14:paraId="0ADE306F" w14:textId="4CBCE286" w:rsidR="007E35AB" w:rsidRPr="004A7E6A" w:rsidRDefault="008F08B2" w:rsidP="0035494F">
            <w:pPr>
              <w:rPr>
                <w:sz w:val="20"/>
                <w:szCs w:val="20"/>
              </w:rPr>
            </w:pPr>
            <w:r w:rsidRPr="004A7E6A">
              <w:rPr>
                <w:color w:val="000000" w:themeColor="text1"/>
                <w:sz w:val="20"/>
                <w:szCs w:val="20"/>
              </w:rPr>
              <w:t>Processes for program review</w:t>
            </w:r>
          </w:p>
        </w:tc>
        <w:tc>
          <w:tcPr>
            <w:tcW w:w="2675" w:type="dxa"/>
            <w:gridSpan w:val="2"/>
          </w:tcPr>
          <w:p w14:paraId="08F4D251" w14:textId="77777777" w:rsidR="007E35AB" w:rsidRPr="00053FC2" w:rsidRDefault="007E35AB" w:rsidP="0035494F">
            <w:pPr>
              <w:rPr>
                <w:b/>
                <w:u w:val="single"/>
              </w:rPr>
            </w:pPr>
          </w:p>
        </w:tc>
        <w:tc>
          <w:tcPr>
            <w:tcW w:w="2672" w:type="dxa"/>
            <w:gridSpan w:val="2"/>
          </w:tcPr>
          <w:p w14:paraId="3335258C" w14:textId="77777777" w:rsidR="007E35AB" w:rsidRPr="00053FC2" w:rsidRDefault="007E35AB" w:rsidP="0035494F">
            <w:pPr>
              <w:rPr>
                <w:b/>
                <w:u w:val="single"/>
              </w:rPr>
            </w:pPr>
          </w:p>
        </w:tc>
        <w:tc>
          <w:tcPr>
            <w:tcW w:w="2611" w:type="dxa"/>
            <w:gridSpan w:val="3"/>
          </w:tcPr>
          <w:p w14:paraId="18EE4793" w14:textId="77777777" w:rsidR="007E35AB" w:rsidRPr="00053FC2" w:rsidRDefault="007E35AB" w:rsidP="0035494F">
            <w:pPr>
              <w:rPr>
                <w:b/>
                <w:u w:val="single"/>
              </w:rPr>
            </w:pPr>
          </w:p>
        </w:tc>
        <w:tc>
          <w:tcPr>
            <w:tcW w:w="2886" w:type="dxa"/>
          </w:tcPr>
          <w:p w14:paraId="083C9278" w14:textId="4348F926" w:rsidR="007E35AB" w:rsidRPr="00053FC2" w:rsidRDefault="000F5AE5" w:rsidP="0035494F">
            <w:pPr>
              <w:rPr>
                <w:b/>
                <w:u w:val="single"/>
              </w:rPr>
            </w:pPr>
            <w:r w:rsidRPr="000D05CD">
              <w:rPr>
                <w:color w:val="FF0000"/>
                <w:sz w:val="20"/>
                <w:szCs w:val="20"/>
              </w:rPr>
              <w:t>ASCCC Lead</w:t>
            </w:r>
            <w:r>
              <w:rPr>
                <w:color w:val="FF0000"/>
                <w:sz w:val="20"/>
                <w:szCs w:val="20"/>
              </w:rPr>
              <w:t xml:space="preserve"> – C-ID</w:t>
            </w:r>
          </w:p>
        </w:tc>
      </w:tr>
      <w:tr w:rsidR="00A02ABC" w14:paraId="567B430F" w14:textId="77777777" w:rsidTr="00414C13">
        <w:tc>
          <w:tcPr>
            <w:tcW w:w="13860" w:type="dxa"/>
            <w:gridSpan w:val="9"/>
          </w:tcPr>
          <w:p w14:paraId="2245452B" w14:textId="77777777" w:rsidR="00A02ABC" w:rsidRPr="00351727" w:rsidRDefault="00A02ABC" w:rsidP="00A02ABC">
            <w:pPr>
              <w:pStyle w:val="ListParagraph"/>
              <w:numPr>
                <w:ilvl w:val="0"/>
                <w:numId w:val="3"/>
              </w:numPr>
              <w:rPr>
                <w:rFonts w:ascii="Times New Roman" w:hAnsi="Times New Roman" w:cs="Times New Roman"/>
                <w:b/>
              </w:rPr>
            </w:pPr>
            <w:r w:rsidRPr="00351727">
              <w:rPr>
                <w:rFonts w:ascii="Times New Roman" w:hAnsi="Times New Roman" w:cs="Times New Roman"/>
                <w:b/>
              </w:rPr>
              <w:t xml:space="preserve">Clarify practices and address issues of course repetition for CTE courses when course content evolves to meet changes in skill requirements. </w:t>
            </w:r>
          </w:p>
        </w:tc>
      </w:tr>
      <w:tr w:rsidR="007E35AB" w14:paraId="12BF0A97" w14:textId="77777777" w:rsidTr="00414C13">
        <w:tc>
          <w:tcPr>
            <w:tcW w:w="13860" w:type="dxa"/>
            <w:gridSpan w:val="9"/>
          </w:tcPr>
          <w:p w14:paraId="51C87861" w14:textId="77777777" w:rsidR="007E35AB" w:rsidRPr="00351727" w:rsidRDefault="007E35AB" w:rsidP="007E35AB">
            <w:pPr>
              <w:pStyle w:val="ListParagraph"/>
              <w:numPr>
                <w:ilvl w:val="0"/>
                <w:numId w:val="19"/>
              </w:numPr>
              <w:rPr>
                <w:rFonts w:ascii="Times New Roman" w:hAnsi="Times New Roman" w:cs="Times New Roman"/>
                <w:b/>
                <w:u w:val="single"/>
              </w:rPr>
            </w:pPr>
            <w:r w:rsidRPr="00351727">
              <w:rPr>
                <w:rFonts w:ascii="Times New Roman" w:hAnsi="Times New Roman" w:cs="Times New Roman"/>
              </w:rPr>
              <w:t>Clarify interpretation of course repetition regulations to assist colleges in implementing policies and practices.</w:t>
            </w:r>
          </w:p>
        </w:tc>
      </w:tr>
      <w:tr w:rsidR="007E35AB" w14:paraId="01EE7703" w14:textId="77777777" w:rsidTr="00053FC2">
        <w:tc>
          <w:tcPr>
            <w:tcW w:w="3016" w:type="dxa"/>
          </w:tcPr>
          <w:p w14:paraId="45304CE1" w14:textId="77777777" w:rsidR="008F08B2" w:rsidRPr="00351727" w:rsidRDefault="008F08B2" w:rsidP="008F08B2">
            <w:pPr>
              <w:rPr>
                <w:color w:val="000000" w:themeColor="text1"/>
                <w:sz w:val="20"/>
                <w:szCs w:val="20"/>
              </w:rPr>
            </w:pPr>
            <w:r w:rsidRPr="00351727">
              <w:rPr>
                <w:color w:val="000000" w:themeColor="text1"/>
                <w:sz w:val="20"/>
                <w:szCs w:val="20"/>
              </w:rPr>
              <w:t>Curriculum</w:t>
            </w:r>
          </w:p>
          <w:p w14:paraId="4606052B" w14:textId="77777777" w:rsidR="007E35AB" w:rsidRPr="00351727" w:rsidRDefault="007E35AB" w:rsidP="008F08B2">
            <w:pPr>
              <w:rPr>
                <w:color w:val="000000" w:themeColor="text1"/>
                <w:sz w:val="20"/>
                <w:szCs w:val="20"/>
              </w:rPr>
            </w:pPr>
          </w:p>
        </w:tc>
        <w:tc>
          <w:tcPr>
            <w:tcW w:w="2675" w:type="dxa"/>
            <w:gridSpan w:val="2"/>
          </w:tcPr>
          <w:p w14:paraId="700112F1" w14:textId="77777777" w:rsidR="007E35AB" w:rsidRPr="00351727" w:rsidRDefault="007E35AB" w:rsidP="0035494F">
            <w:pPr>
              <w:rPr>
                <w:color w:val="000000" w:themeColor="text1"/>
                <w:sz w:val="20"/>
                <w:szCs w:val="20"/>
              </w:rPr>
            </w:pPr>
          </w:p>
        </w:tc>
        <w:tc>
          <w:tcPr>
            <w:tcW w:w="2672" w:type="dxa"/>
            <w:gridSpan w:val="2"/>
          </w:tcPr>
          <w:p w14:paraId="74409CF6" w14:textId="77777777" w:rsidR="007E35AB" w:rsidRPr="00351727" w:rsidRDefault="007E35AB" w:rsidP="0035494F">
            <w:pPr>
              <w:rPr>
                <w:color w:val="000000" w:themeColor="text1"/>
                <w:sz w:val="20"/>
                <w:szCs w:val="20"/>
              </w:rPr>
            </w:pPr>
          </w:p>
        </w:tc>
        <w:tc>
          <w:tcPr>
            <w:tcW w:w="2611" w:type="dxa"/>
            <w:gridSpan w:val="3"/>
          </w:tcPr>
          <w:p w14:paraId="6DD27B7B" w14:textId="531F0E65" w:rsidR="007E35AB" w:rsidRPr="00351727" w:rsidRDefault="008F08B2" w:rsidP="0035494F">
            <w:pPr>
              <w:rPr>
                <w:color w:val="000000" w:themeColor="text1"/>
                <w:sz w:val="20"/>
                <w:szCs w:val="20"/>
              </w:rPr>
            </w:pPr>
            <w:r w:rsidRPr="00351727">
              <w:rPr>
                <w:color w:val="000000" w:themeColor="text1"/>
                <w:sz w:val="20"/>
                <w:szCs w:val="20"/>
              </w:rPr>
              <w:t>SACC</w:t>
            </w:r>
          </w:p>
        </w:tc>
        <w:tc>
          <w:tcPr>
            <w:tcW w:w="2886" w:type="dxa"/>
          </w:tcPr>
          <w:p w14:paraId="3ED81019" w14:textId="7F915877" w:rsidR="007E35AB" w:rsidRPr="00351727" w:rsidRDefault="000F5AE5" w:rsidP="0035494F">
            <w:pPr>
              <w:rPr>
                <w:b/>
                <w:u w:val="single"/>
              </w:rPr>
            </w:pPr>
            <w:r w:rsidRPr="00351727">
              <w:rPr>
                <w:color w:val="FF0000"/>
                <w:sz w:val="20"/>
                <w:szCs w:val="20"/>
              </w:rPr>
              <w:t xml:space="preserve">ASCCC Advisory </w:t>
            </w:r>
            <w:r w:rsidR="00DB6F74" w:rsidRPr="00351727">
              <w:rPr>
                <w:color w:val="FF0000"/>
                <w:sz w:val="20"/>
                <w:szCs w:val="20"/>
              </w:rPr>
              <w:t>role</w:t>
            </w:r>
          </w:p>
        </w:tc>
      </w:tr>
      <w:tr w:rsidR="007E35AB" w14:paraId="3D44ED9E" w14:textId="77777777" w:rsidTr="00414C13">
        <w:tc>
          <w:tcPr>
            <w:tcW w:w="13860" w:type="dxa"/>
            <w:gridSpan w:val="9"/>
          </w:tcPr>
          <w:p w14:paraId="34585F18" w14:textId="77777777" w:rsidR="007E35AB" w:rsidRPr="00351727" w:rsidRDefault="007E35AB" w:rsidP="007E35AB">
            <w:pPr>
              <w:pStyle w:val="ListParagraph"/>
              <w:numPr>
                <w:ilvl w:val="0"/>
                <w:numId w:val="19"/>
              </w:numPr>
              <w:rPr>
                <w:rFonts w:ascii="Times New Roman" w:hAnsi="Times New Roman" w:cs="Times New Roman"/>
                <w:b/>
                <w:u w:val="single"/>
              </w:rPr>
            </w:pPr>
            <w:r w:rsidRPr="00351727">
              <w:rPr>
                <w:rFonts w:ascii="Times New Roman" w:hAnsi="Times New Roman" w:cs="Times New Roman"/>
              </w:rPr>
              <w:t>Identify and disseminate best practices for using noncredit to provide opportunities for CTE students to build skills and knowledge.</w:t>
            </w:r>
          </w:p>
        </w:tc>
      </w:tr>
      <w:tr w:rsidR="007E35AB" w14:paraId="1268DF31" w14:textId="77777777" w:rsidTr="00053FC2">
        <w:tc>
          <w:tcPr>
            <w:tcW w:w="3016" w:type="dxa"/>
          </w:tcPr>
          <w:p w14:paraId="697823FD" w14:textId="77777777" w:rsidR="008F08B2" w:rsidRPr="004A7E6A" w:rsidRDefault="008F08B2" w:rsidP="008F08B2">
            <w:pPr>
              <w:rPr>
                <w:color w:val="000000" w:themeColor="text1"/>
                <w:sz w:val="20"/>
                <w:szCs w:val="20"/>
              </w:rPr>
            </w:pPr>
            <w:r w:rsidRPr="004A7E6A">
              <w:rPr>
                <w:color w:val="000000" w:themeColor="text1"/>
                <w:sz w:val="20"/>
                <w:szCs w:val="20"/>
              </w:rPr>
              <w:t>Curriculum</w:t>
            </w:r>
          </w:p>
          <w:p w14:paraId="41097EF2" w14:textId="77777777" w:rsidR="008F08B2" w:rsidRDefault="008F08B2" w:rsidP="008F08B2">
            <w:pPr>
              <w:rPr>
                <w:b/>
                <w:color w:val="008000"/>
                <w:u w:val="single"/>
              </w:rPr>
            </w:pPr>
          </w:p>
          <w:p w14:paraId="185CA556" w14:textId="77777777" w:rsidR="007E35AB" w:rsidRPr="00053FC2" w:rsidRDefault="007E35AB" w:rsidP="008F08B2">
            <w:pPr>
              <w:rPr>
                <w:b/>
                <w:u w:val="single"/>
              </w:rPr>
            </w:pPr>
          </w:p>
        </w:tc>
        <w:tc>
          <w:tcPr>
            <w:tcW w:w="2675" w:type="dxa"/>
            <w:gridSpan w:val="2"/>
          </w:tcPr>
          <w:p w14:paraId="353F8D0A" w14:textId="77777777" w:rsidR="007E35AB" w:rsidRPr="00053FC2" w:rsidRDefault="007E35AB" w:rsidP="0035494F">
            <w:pPr>
              <w:rPr>
                <w:b/>
                <w:u w:val="single"/>
              </w:rPr>
            </w:pPr>
          </w:p>
        </w:tc>
        <w:tc>
          <w:tcPr>
            <w:tcW w:w="2672" w:type="dxa"/>
            <w:gridSpan w:val="2"/>
          </w:tcPr>
          <w:p w14:paraId="7730EA07" w14:textId="777FE5B5" w:rsidR="007E35AB" w:rsidRPr="00326068" w:rsidRDefault="00326068" w:rsidP="0035494F">
            <w:pPr>
              <w:rPr>
                <w:rStyle w:val="Hyperlink"/>
                <w:sz w:val="20"/>
                <w:szCs w:val="20"/>
              </w:rPr>
            </w:pPr>
            <w:r>
              <w:rPr>
                <w:sz w:val="20"/>
                <w:szCs w:val="20"/>
              </w:rPr>
              <w:fldChar w:fldCharType="begin"/>
            </w:r>
            <w:r>
              <w:rPr>
                <w:sz w:val="20"/>
                <w:szCs w:val="20"/>
              </w:rPr>
              <w:instrText xml:space="preserve"> HYPERLINK "http://www.asccc.org/resolutions/update-system-guidance-noncredit-curriculum" </w:instrText>
            </w:r>
            <w:r>
              <w:rPr>
                <w:sz w:val="20"/>
                <w:szCs w:val="20"/>
              </w:rPr>
              <w:fldChar w:fldCharType="separate"/>
            </w:r>
            <w:r w:rsidRPr="00326068">
              <w:rPr>
                <w:rStyle w:val="Hyperlink"/>
                <w:sz w:val="20"/>
                <w:szCs w:val="20"/>
              </w:rPr>
              <w:t xml:space="preserve">13.02 F15 Update System Guidance for Noncredit Curriculum </w:t>
            </w:r>
          </w:p>
          <w:p w14:paraId="4A591A04" w14:textId="1D496858" w:rsidR="00326068" w:rsidRDefault="00326068" w:rsidP="0035494F">
            <w:pPr>
              <w:rPr>
                <w:sz w:val="20"/>
                <w:szCs w:val="20"/>
              </w:rPr>
            </w:pPr>
            <w:r>
              <w:rPr>
                <w:sz w:val="20"/>
                <w:szCs w:val="20"/>
              </w:rPr>
              <w:fldChar w:fldCharType="end"/>
            </w:r>
          </w:p>
          <w:p w14:paraId="16B5A606" w14:textId="05F21051" w:rsidR="00326068" w:rsidRPr="00326068" w:rsidRDefault="00326068" w:rsidP="00326068">
            <w:pPr>
              <w:rPr>
                <w:sz w:val="20"/>
                <w:szCs w:val="20"/>
              </w:rPr>
            </w:pPr>
            <w:r>
              <w:rPr>
                <w:sz w:val="20"/>
                <w:szCs w:val="20"/>
              </w:rPr>
              <w:t>W</w:t>
            </w:r>
            <w:r w:rsidRPr="00326068">
              <w:rPr>
                <w:sz w:val="20"/>
                <w:szCs w:val="20"/>
              </w:rPr>
              <w:t>ork with the Chancellor’s Office and other system partners to revise the 2006 document </w:t>
            </w:r>
            <w:r w:rsidRPr="00326068">
              <w:rPr>
                <w:i/>
                <w:iCs/>
                <w:sz w:val="20"/>
                <w:szCs w:val="20"/>
              </w:rPr>
              <w:t>Noncredit at a Glance</w:t>
            </w:r>
            <w:r w:rsidRPr="00326068">
              <w:rPr>
                <w:sz w:val="20"/>
                <w:szCs w:val="20"/>
              </w:rPr>
              <w:t> or create a new document on noncredit that provides timely and relevant guidance to the field on the appropriate implementation of noncredit curriculum, programs, and instruction; and</w:t>
            </w:r>
          </w:p>
          <w:p w14:paraId="62128655" w14:textId="6ED25C11" w:rsidR="00542F6D" w:rsidRPr="00754BE6" w:rsidRDefault="00326068" w:rsidP="0035494F">
            <w:pPr>
              <w:rPr>
                <w:sz w:val="20"/>
                <w:szCs w:val="20"/>
              </w:rPr>
            </w:pPr>
            <w:r w:rsidRPr="00326068">
              <w:rPr>
                <w:sz w:val="20"/>
                <w:szCs w:val="20"/>
              </w:rPr>
              <w:t>update its paper </w:t>
            </w:r>
            <w:r w:rsidRPr="00326068">
              <w:rPr>
                <w:i/>
                <w:iCs/>
                <w:sz w:val="20"/>
                <w:szCs w:val="20"/>
              </w:rPr>
              <w:t>Noncredit Instruction: Opportunity and Challenge,</w:t>
            </w:r>
            <w:r w:rsidRPr="00326068">
              <w:rPr>
                <w:sz w:val="20"/>
                <w:szCs w:val="20"/>
              </w:rPr>
              <w:t> adopted by the body in Spring 2009, no later than Spring 2017 to include recent developments affecting noncredit, including using noncredit to improve equity and close the achievement gap, leveraging Career Development/College Preparation equalization funding, and addressing an increased emphasis on adult basic skills and workforce education.</w:t>
            </w:r>
          </w:p>
        </w:tc>
        <w:tc>
          <w:tcPr>
            <w:tcW w:w="2611" w:type="dxa"/>
            <w:gridSpan w:val="3"/>
          </w:tcPr>
          <w:p w14:paraId="7BB85294" w14:textId="77777777" w:rsidR="007E35AB" w:rsidRPr="00053FC2" w:rsidRDefault="007E35AB" w:rsidP="0035494F">
            <w:pPr>
              <w:rPr>
                <w:b/>
                <w:u w:val="single"/>
              </w:rPr>
            </w:pPr>
          </w:p>
        </w:tc>
        <w:tc>
          <w:tcPr>
            <w:tcW w:w="2886" w:type="dxa"/>
          </w:tcPr>
          <w:p w14:paraId="6944E097" w14:textId="5AF514F8" w:rsidR="007E35AB" w:rsidRPr="00053FC2" w:rsidRDefault="00DB6F74" w:rsidP="0035494F">
            <w:pPr>
              <w:rPr>
                <w:b/>
                <w:u w:val="single"/>
              </w:rPr>
            </w:pPr>
            <w:r w:rsidRPr="000D05CD">
              <w:rPr>
                <w:color w:val="FF0000"/>
                <w:sz w:val="20"/>
                <w:szCs w:val="20"/>
              </w:rPr>
              <w:t>ASCCC Lead</w:t>
            </w:r>
          </w:p>
        </w:tc>
      </w:tr>
      <w:tr w:rsidR="007E35AB" w14:paraId="30EC7E13" w14:textId="77777777" w:rsidTr="00414C13">
        <w:tc>
          <w:tcPr>
            <w:tcW w:w="13860" w:type="dxa"/>
            <w:gridSpan w:val="9"/>
          </w:tcPr>
          <w:p w14:paraId="5C472893" w14:textId="5747E1EB" w:rsidR="007E35AB" w:rsidRPr="00351727" w:rsidRDefault="007E35AB" w:rsidP="007E35AB">
            <w:pPr>
              <w:pStyle w:val="ListParagraph"/>
              <w:numPr>
                <w:ilvl w:val="0"/>
                <w:numId w:val="19"/>
              </w:numPr>
              <w:rPr>
                <w:rFonts w:ascii="Times New Roman" w:hAnsi="Times New Roman" w:cs="Times New Roman"/>
                <w:b/>
                <w:u w:val="single"/>
              </w:rPr>
            </w:pPr>
            <w:r w:rsidRPr="00351727">
              <w:rPr>
                <w:rFonts w:ascii="Times New Roman" w:hAnsi="Times New Roman" w:cs="Times New Roman"/>
              </w:rPr>
              <w:t>Revise existing policies regarding the use of a state-required audit fee to provide colleges with the necessary flexibility to allow auditing of credit courses previously completed as an option for students to refresh their skills and knowledge.</w:t>
            </w:r>
          </w:p>
        </w:tc>
      </w:tr>
      <w:tr w:rsidR="007E35AB" w14:paraId="4976AA84" w14:textId="77777777" w:rsidTr="00053FC2">
        <w:tc>
          <w:tcPr>
            <w:tcW w:w="3016" w:type="dxa"/>
          </w:tcPr>
          <w:p w14:paraId="5A8CD780" w14:textId="15A53BDB" w:rsidR="008F08B2" w:rsidRPr="004A7E6A" w:rsidRDefault="00266BC5" w:rsidP="008F08B2">
            <w:pPr>
              <w:rPr>
                <w:color w:val="000000" w:themeColor="text1"/>
                <w:sz w:val="20"/>
                <w:szCs w:val="20"/>
              </w:rPr>
            </w:pPr>
            <w:r w:rsidRPr="004A7E6A">
              <w:rPr>
                <w:color w:val="000000" w:themeColor="text1"/>
                <w:sz w:val="20"/>
                <w:szCs w:val="20"/>
              </w:rPr>
              <w:t>Standards or policies regarding student preparation and success</w:t>
            </w:r>
          </w:p>
          <w:p w14:paraId="7BAD5D3D" w14:textId="77777777" w:rsidR="007E35AB" w:rsidRPr="00053FC2" w:rsidRDefault="007E35AB" w:rsidP="008F08B2">
            <w:pPr>
              <w:rPr>
                <w:b/>
                <w:u w:val="single"/>
              </w:rPr>
            </w:pPr>
          </w:p>
        </w:tc>
        <w:tc>
          <w:tcPr>
            <w:tcW w:w="2675" w:type="dxa"/>
            <w:gridSpan w:val="2"/>
          </w:tcPr>
          <w:p w14:paraId="44DEF228" w14:textId="77777777" w:rsidR="007E35AB" w:rsidRPr="00053FC2" w:rsidRDefault="007E35AB" w:rsidP="0035494F">
            <w:pPr>
              <w:rPr>
                <w:b/>
                <w:u w:val="single"/>
              </w:rPr>
            </w:pPr>
          </w:p>
        </w:tc>
        <w:tc>
          <w:tcPr>
            <w:tcW w:w="2672" w:type="dxa"/>
            <w:gridSpan w:val="2"/>
          </w:tcPr>
          <w:p w14:paraId="37FCD242" w14:textId="77777777" w:rsidR="007E35AB" w:rsidRPr="00053FC2" w:rsidRDefault="007E35AB" w:rsidP="0035494F">
            <w:pPr>
              <w:rPr>
                <w:b/>
                <w:u w:val="single"/>
              </w:rPr>
            </w:pPr>
          </w:p>
        </w:tc>
        <w:tc>
          <w:tcPr>
            <w:tcW w:w="2611" w:type="dxa"/>
            <w:gridSpan w:val="3"/>
          </w:tcPr>
          <w:p w14:paraId="791AECC3" w14:textId="77777777" w:rsidR="007E35AB" w:rsidRPr="00053FC2" w:rsidRDefault="007E35AB" w:rsidP="0035494F">
            <w:pPr>
              <w:rPr>
                <w:b/>
                <w:u w:val="single"/>
              </w:rPr>
            </w:pPr>
          </w:p>
        </w:tc>
        <w:tc>
          <w:tcPr>
            <w:tcW w:w="2886" w:type="dxa"/>
          </w:tcPr>
          <w:p w14:paraId="2695C253" w14:textId="77777777" w:rsidR="007E35AB" w:rsidRDefault="001D67D4" w:rsidP="0035494F">
            <w:pPr>
              <w:rPr>
                <w:color w:val="FF0000"/>
                <w:sz w:val="20"/>
                <w:szCs w:val="20"/>
              </w:rPr>
            </w:pPr>
            <w:r w:rsidRPr="001D67D4">
              <w:rPr>
                <w:color w:val="FF0000"/>
                <w:sz w:val="20"/>
                <w:szCs w:val="20"/>
              </w:rPr>
              <w:t>ASCCC Advisory Role</w:t>
            </w:r>
          </w:p>
          <w:p w14:paraId="5A4C9F0D" w14:textId="77777777" w:rsidR="001D67D4" w:rsidRDefault="001D67D4" w:rsidP="0035494F">
            <w:pPr>
              <w:rPr>
                <w:color w:val="FF0000"/>
                <w:sz w:val="20"/>
                <w:szCs w:val="20"/>
              </w:rPr>
            </w:pPr>
          </w:p>
          <w:p w14:paraId="18F9FD49" w14:textId="04CC2435" w:rsidR="001D67D4" w:rsidRPr="001D67D4" w:rsidRDefault="001D67D4" w:rsidP="0035494F">
            <w:pPr>
              <w:rPr>
                <w:sz w:val="20"/>
                <w:szCs w:val="20"/>
              </w:rPr>
            </w:pPr>
          </w:p>
        </w:tc>
      </w:tr>
      <w:tr w:rsidR="00A02ABC" w14:paraId="6FA17D02" w14:textId="77777777" w:rsidTr="007E35AB">
        <w:tc>
          <w:tcPr>
            <w:tcW w:w="13860" w:type="dxa"/>
            <w:gridSpan w:val="9"/>
            <w:shd w:val="clear" w:color="auto" w:fill="BFBFBF" w:themeFill="background1" w:themeFillShade="BF"/>
          </w:tcPr>
          <w:p w14:paraId="6878715A" w14:textId="77777777" w:rsidR="00A02ABC" w:rsidRPr="00053FC2" w:rsidRDefault="00A02ABC" w:rsidP="00A02ABC">
            <w:pPr>
              <w:jc w:val="center"/>
              <w:rPr>
                <w:b/>
                <w:u w:val="single"/>
              </w:rPr>
            </w:pPr>
            <w:r>
              <w:rPr>
                <w:b/>
              </w:rPr>
              <w:t>CTE FACULTY</w:t>
            </w:r>
          </w:p>
        </w:tc>
      </w:tr>
      <w:tr w:rsidR="00DA08A2" w14:paraId="07C37B6B" w14:textId="77777777" w:rsidTr="00414C13">
        <w:tc>
          <w:tcPr>
            <w:tcW w:w="13860" w:type="dxa"/>
            <w:gridSpan w:val="9"/>
          </w:tcPr>
          <w:p w14:paraId="2145A479" w14:textId="77777777" w:rsidR="00DA08A2" w:rsidRPr="00351727" w:rsidRDefault="00DA08A2" w:rsidP="00DA08A2">
            <w:pPr>
              <w:pStyle w:val="ListParagraph"/>
              <w:numPr>
                <w:ilvl w:val="0"/>
                <w:numId w:val="3"/>
              </w:numPr>
              <w:rPr>
                <w:rFonts w:ascii="Times New Roman" w:hAnsi="Times New Roman" w:cs="Times New Roman"/>
                <w:b/>
              </w:rPr>
            </w:pPr>
            <w:r w:rsidRPr="00351727">
              <w:rPr>
                <w:rFonts w:ascii="Times New Roman" w:hAnsi="Times New Roman" w:cs="Times New Roman"/>
                <w:b/>
              </w:rPr>
              <w:t xml:space="preserve">Increase the pool of qualified CTE instructors by addressing CTE faculty recruitment and hiring practices. </w:t>
            </w:r>
          </w:p>
        </w:tc>
      </w:tr>
      <w:tr w:rsidR="00461C0F" w14:paraId="69ED8DC8" w14:textId="77777777" w:rsidTr="00414C13">
        <w:tc>
          <w:tcPr>
            <w:tcW w:w="13860" w:type="dxa"/>
            <w:gridSpan w:val="9"/>
          </w:tcPr>
          <w:p w14:paraId="716279F5" w14:textId="77777777" w:rsidR="00461C0F" w:rsidRPr="00351727" w:rsidRDefault="00461C0F" w:rsidP="00461C0F">
            <w:pPr>
              <w:pStyle w:val="ListParagraph"/>
              <w:numPr>
                <w:ilvl w:val="0"/>
                <w:numId w:val="20"/>
              </w:numPr>
              <w:rPr>
                <w:rFonts w:ascii="Times New Roman" w:hAnsi="Times New Roman" w:cs="Times New Roman"/>
                <w:b/>
                <w:u w:val="single"/>
              </w:rPr>
            </w:pPr>
            <w:r w:rsidRPr="00351727">
              <w:rPr>
                <w:rFonts w:ascii="Times New Roman" w:hAnsi="Times New Roman" w:cs="Times New Roman"/>
              </w:rPr>
              <w:t>Clarify legislative and regulatory barriers to hiring CTE instructors who may not meet existing college hiring standards but possess significant industry experience.</w:t>
            </w:r>
          </w:p>
        </w:tc>
      </w:tr>
      <w:tr w:rsidR="00461C0F" w14:paraId="68FA6D9E" w14:textId="77777777" w:rsidTr="00053FC2">
        <w:tc>
          <w:tcPr>
            <w:tcW w:w="3016" w:type="dxa"/>
          </w:tcPr>
          <w:p w14:paraId="59653381" w14:textId="5016849E" w:rsidR="00461C0F" w:rsidRPr="00351727" w:rsidRDefault="003863F4" w:rsidP="0035494F">
            <w:pPr>
              <w:rPr>
                <w:b/>
                <w:color w:val="008000"/>
                <w:u w:val="single"/>
              </w:rPr>
            </w:pPr>
            <w:r w:rsidRPr="004A7E6A">
              <w:rPr>
                <w:color w:val="000000" w:themeColor="text1"/>
                <w:sz w:val="20"/>
                <w:szCs w:val="20"/>
              </w:rPr>
              <w:t>Education Code –MQs and Equivalency</w:t>
            </w:r>
          </w:p>
        </w:tc>
        <w:tc>
          <w:tcPr>
            <w:tcW w:w="2675" w:type="dxa"/>
            <w:gridSpan w:val="2"/>
          </w:tcPr>
          <w:p w14:paraId="1A75D3C0" w14:textId="5BDDD0A3" w:rsidR="00461C0F" w:rsidRPr="00351727" w:rsidRDefault="00BF714F" w:rsidP="0035494F">
            <w:pPr>
              <w:rPr>
                <w:color w:val="660066"/>
                <w:sz w:val="20"/>
                <w:szCs w:val="20"/>
              </w:rPr>
            </w:pPr>
            <w:r w:rsidRPr="00351727">
              <w:rPr>
                <w:color w:val="000000" w:themeColor="text1"/>
                <w:sz w:val="20"/>
                <w:szCs w:val="20"/>
              </w:rPr>
              <w:t xml:space="preserve">Policy direction on industry experience and equivalency </w:t>
            </w:r>
          </w:p>
        </w:tc>
        <w:tc>
          <w:tcPr>
            <w:tcW w:w="2672" w:type="dxa"/>
            <w:gridSpan w:val="2"/>
          </w:tcPr>
          <w:p w14:paraId="2B5C5B69" w14:textId="2C8E1535" w:rsidR="00461C0F" w:rsidRPr="00351727" w:rsidRDefault="00483548" w:rsidP="0035494F">
            <w:pPr>
              <w:rPr>
                <w:sz w:val="20"/>
                <w:szCs w:val="20"/>
              </w:rPr>
            </w:pPr>
            <w:r w:rsidRPr="00351727">
              <w:rPr>
                <w:sz w:val="20"/>
                <w:szCs w:val="20"/>
              </w:rPr>
              <w:t xml:space="preserve">Several referred resolutions but no real positions regarding </w:t>
            </w:r>
            <w:r w:rsidR="00C3674A" w:rsidRPr="00351727">
              <w:rPr>
                <w:sz w:val="20"/>
                <w:szCs w:val="20"/>
              </w:rPr>
              <w:t>minimum</w:t>
            </w:r>
            <w:r w:rsidRPr="00351727">
              <w:rPr>
                <w:sz w:val="20"/>
                <w:szCs w:val="20"/>
              </w:rPr>
              <w:t xml:space="preserve"> qualifications for faculty who have industry experience but not an associate degree.  </w:t>
            </w:r>
          </w:p>
          <w:p w14:paraId="35493834" w14:textId="3FAB5804" w:rsidR="00483548" w:rsidRPr="00351727" w:rsidRDefault="00483548" w:rsidP="0035494F">
            <w:pPr>
              <w:rPr>
                <w:sz w:val="20"/>
                <w:szCs w:val="20"/>
              </w:rPr>
            </w:pPr>
          </w:p>
        </w:tc>
        <w:tc>
          <w:tcPr>
            <w:tcW w:w="2611" w:type="dxa"/>
            <w:gridSpan w:val="3"/>
          </w:tcPr>
          <w:p w14:paraId="54FDF95B" w14:textId="77777777" w:rsidR="00461C0F" w:rsidRPr="00351727" w:rsidRDefault="00461C0F" w:rsidP="0035494F">
            <w:pPr>
              <w:rPr>
                <w:b/>
                <w:u w:val="single"/>
              </w:rPr>
            </w:pPr>
          </w:p>
        </w:tc>
        <w:tc>
          <w:tcPr>
            <w:tcW w:w="2886" w:type="dxa"/>
          </w:tcPr>
          <w:p w14:paraId="2E54096D" w14:textId="6BDF359A" w:rsidR="00461C0F" w:rsidRPr="00351727" w:rsidRDefault="00DE38F3" w:rsidP="0035494F">
            <w:pPr>
              <w:rPr>
                <w:b/>
                <w:u w:val="single"/>
              </w:rPr>
            </w:pPr>
            <w:r w:rsidRPr="00351727">
              <w:rPr>
                <w:color w:val="FF0000"/>
                <w:sz w:val="20"/>
                <w:szCs w:val="20"/>
              </w:rPr>
              <w:t>ASCCC Lead</w:t>
            </w:r>
          </w:p>
        </w:tc>
      </w:tr>
      <w:tr w:rsidR="00461C0F" w14:paraId="06F904C4" w14:textId="77777777" w:rsidTr="00414C13">
        <w:tc>
          <w:tcPr>
            <w:tcW w:w="13860" w:type="dxa"/>
            <w:gridSpan w:val="9"/>
          </w:tcPr>
          <w:p w14:paraId="6A4C2A20" w14:textId="112B8957" w:rsidR="00461C0F" w:rsidRPr="00351727" w:rsidRDefault="00461C0F" w:rsidP="00461C0F">
            <w:pPr>
              <w:pStyle w:val="ListParagraph"/>
              <w:numPr>
                <w:ilvl w:val="0"/>
                <w:numId w:val="20"/>
              </w:numPr>
              <w:rPr>
                <w:rFonts w:ascii="Times New Roman" w:hAnsi="Times New Roman" w:cs="Times New Roman"/>
                <w:b/>
                <w:u w:val="single"/>
              </w:rPr>
            </w:pPr>
            <w:r w:rsidRPr="00351727">
              <w:rPr>
                <w:rFonts w:ascii="Times New Roman" w:hAnsi="Times New Roman" w:cs="Times New Roman"/>
              </w:rPr>
              <w:t>Disseminate effective practices in the recruitment and hiring of diverse faculty and the application of minimum qualifications and equivalencies.</w:t>
            </w:r>
          </w:p>
        </w:tc>
      </w:tr>
      <w:tr w:rsidR="00461C0F" w14:paraId="27B6CF43" w14:textId="77777777" w:rsidTr="00053FC2">
        <w:tc>
          <w:tcPr>
            <w:tcW w:w="3016" w:type="dxa"/>
          </w:tcPr>
          <w:p w14:paraId="1A387F57" w14:textId="6135BA40" w:rsidR="00461C0F" w:rsidRPr="004A7E6A" w:rsidRDefault="005F7283" w:rsidP="00D66A10">
            <w:pPr>
              <w:rPr>
                <w:sz w:val="20"/>
                <w:szCs w:val="20"/>
              </w:rPr>
            </w:pPr>
            <w:r w:rsidRPr="004A7E6A">
              <w:rPr>
                <w:color w:val="000000" w:themeColor="text1"/>
                <w:sz w:val="20"/>
                <w:szCs w:val="20"/>
              </w:rPr>
              <w:t xml:space="preserve">Education Code </w:t>
            </w:r>
            <w:r w:rsidR="00D66A10" w:rsidRPr="004A7E6A">
              <w:rPr>
                <w:color w:val="000000" w:themeColor="text1"/>
                <w:sz w:val="20"/>
                <w:szCs w:val="20"/>
              </w:rPr>
              <w:t>–</w:t>
            </w:r>
            <w:r w:rsidRPr="004A7E6A">
              <w:rPr>
                <w:color w:val="000000" w:themeColor="text1"/>
                <w:sz w:val="20"/>
                <w:szCs w:val="20"/>
              </w:rPr>
              <w:t>MQs</w:t>
            </w:r>
            <w:r w:rsidR="00D66A10" w:rsidRPr="004A7E6A">
              <w:rPr>
                <w:color w:val="000000" w:themeColor="text1"/>
                <w:sz w:val="20"/>
                <w:szCs w:val="20"/>
              </w:rPr>
              <w:t xml:space="preserve"> and Equivalency</w:t>
            </w:r>
          </w:p>
        </w:tc>
        <w:tc>
          <w:tcPr>
            <w:tcW w:w="2675" w:type="dxa"/>
            <w:gridSpan w:val="2"/>
          </w:tcPr>
          <w:p w14:paraId="0479DF90" w14:textId="77777777" w:rsidR="00461C0F" w:rsidRPr="00053FC2" w:rsidRDefault="00461C0F" w:rsidP="0035494F">
            <w:pPr>
              <w:rPr>
                <w:b/>
                <w:u w:val="single"/>
              </w:rPr>
            </w:pPr>
          </w:p>
        </w:tc>
        <w:tc>
          <w:tcPr>
            <w:tcW w:w="2672" w:type="dxa"/>
            <w:gridSpan w:val="2"/>
          </w:tcPr>
          <w:p w14:paraId="2711CF6A" w14:textId="450D7E5D" w:rsidR="00461C0F" w:rsidRPr="004F10FB" w:rsidRDefault="004F10FB" w:rsidP="0035494F">
            <w:pPr>
              <w:rPr>
                <w:rStyle w:val="Hyperlink"/>
                <w:sz w:val="20"/>
                <w:szCs w:val="20"/>
              </w:rPr>
            </w:pPr>
            <w:r>
              <w:rPr>
                <w:sz w:val="20"/>
                <w:szCs w:val="20"/>
              </w:rPr>
              <w:fldChar w:fldCharType="begin"/>
            </w:r>
            <w:r>
              <w:rPr>
                <w:sz w:val="20"/>
                <w:szCs w:val="20"/>
              </w:rPr>
              <w:instrText xml:space="preserve"> HYPERLINK "http://www.asccc.org/resolutions/fair-and-effective-hiring-practices" </w:instrText>
            </w:r>
            <w:r>
              <w:rPr>
                <w:sz w:val="20"/>
                <w:szCs w:val="20"/>
              </w:rPr>
              <w:fldChar w:fldCharType="separate"/>
            </w:r>
            <w:r w:rsidRPr="004F10FB">
              <w:rPr>
                <w:rStyle w:val="Hyperlink"/>
                <w:sz w:val="20"/>
                <w:szCs w:val="20"/>
              </w:rPr>
              <w:t xml:space="preserve">3.01 S02 Fair and Effective Hiring Practices </w:t>
            </w:r>
          </w:p>
          <w:p w14:paraId="7C329BA6" w14:textId="5CBE1177" w:rsidR="004F10FB" w:rsidRDefault="004F10FB" w:rsidP="0035494F">
            <w:pPr>
              <w:rPr>
                <w:sz w:val="20"/>
                <w:szCs w:val="20"/>
              </w:rPr>
            </w:pPr>
            <w:r>
              <w:rPr>
                <w:sz w:val="20"/>
                <w:szCs w:val="20"/>
              </w:rPr>
              <w:fldChar w:fldCharType="end"/>
            </w:r>
          </w:p>
          <w:p w14:paraId="322E7C68" w14:textId="176CD0A9" w:rsidR="004F10FB" w:rsidRPr="004F10FB" w:rsidRDefault="004F10FB" w:rsidP="004F10FB">
            <w:pPr>
              <w:rPr>
                <w:sz w:val="20"/>
                <w:szCs w:val="20"/>
              </w:rPr>
            </w:pPr>
            <w:r>
              <w:rPr>
                <w:sz w:val="20"/>
                <w:szCs w:val="20"/>
              </w:rPr>
              <w:t>W</w:t>
            </w:r>
            <w:r w:rsidRPr="004F10FB">
              <w:rPr>
                <w:sz w:val="20"/>
                <w:szCs w:val="20"/>
              </w:rPr>
              <w:t>ork with the Chancellor's Office to inform local boards that fair and effective hiring processes are still required by state and federal law, and that the Connerly decision has not eliminated or abrogated a district's responsibility to ensure fair and effective hiring practices for employees; and urge the Chancellor's Office to inform local districts that any changes to "faculty hiring criteria, policies, and procedures" still require joint agreement between the governing board and the local academic senate as specified in Educational Code 87360(b).</w:t>
            </w:r>
          </w:p>
          <w:p w14:paraId="52823835" w14:textId="77777777" w:rsidR="004F10FB" w:rsidRPr="00B202A4" w:rsidRDefault="004F10FB" w:rsidP="0035494F">
            <w:pPr>
              <w:rPr>
                <w:sz w:val="20"/>
                <w:szCs w:val="20"/>
              </w:rPr>
            </w:pPr>
          </w:p>
        </w:tc>
        <w:tc>
          <w:tcPr>
            <w:tcW w:w="2611" w:type="dxa"/>
            <w:gridSpan w:val="3"/>
          </w:tcPr>
          <w:p w14:paraId="68B31920" w14:textId="77777777" w:rsidR="00461C0F" w:rsidRPr="00053FC2" w:rsidRDefault="00461C0F" w:rsidP="0035494F">
            <w:pPr>
              <w:rPr>
                <w:b/>
                <w:u w:val="single"/>
              </w:rPr>
            </w:pPr>
          </w:p>
        </w:tc>
        <w:tc>
          <w:tcPr>
            <w:tcW w:w="2886" w:type="dxa"/>
          </w:tcPr>
          <w:p w14:paraId="39D7D297" w14:textId="09DF6731" w:rsidR="00461C0F" w:rsidRPr="00053FC2" w:rsidRDefault="00624C1E" w:rsidP="0035494F">
            <w:pPr>
              <w:rPr>
                <w:b/>
                <w:u w:val="single"/>
              </w:rPr>
            </w:pPr>
            <w:r w:rsidRPr="000D05CD">
              <w:rPr>
                <w:color w:val="FF0000"/>
                <w:sz w:val="20"/>
                <w:szCs w:val="20"/>
              </w:rPr>
              <w:t>ASCCC Lead</w:t>
            </w:r>
          </w:p>
        </w:tc>
      </w:tr>
      <w:tr w:rsidR="00461C0F" w:rsidRPr="00461C0F" w14:paraId="6B22B936" w14:textId="77777777" w:rsidTr="00414C13">
        <w:tc>
          <w:tcPr>
            <w:tcW w:w="13860" w:type="dxa"/>
            <w:gridSpan w:val="9"/>
          </w:tcPr>
          <w:p w14:paraId="2B3A001A" w14:textId="714EEEF8" w:rsidR="00461C0F" w:rsidRPr="00351727" w:rsidRDefault="00461C0F" w:rsidP="00461C0F">
            <w:pPr>
              <w:pStyle w:val="ListParagraph"/>
              <w:numPr>
                <w:ilvl w:val="0"/>
                <w:numId w:val="20"/>
              </w:numPr>
              <w:rPr>
                <w:rFonts w:ascii="Times New Roman" w:hAnsi="Times New Roman" w:cs="Times New Roman"/>
                <w:b/>
                <w:u w:val="single"/>
              </w:rPr>
            </w:pPr>
            <w:r w:rsidRPr="00351727">
              <w:rPr>
                <w:rFonts w:ascii="Times New Roman" w:hAnsi="Times New Roman" w:cs="Times New Roman"/>
              </w:rPr>
              <w:t>Develop pipelines to recruit community college faculty with industry expertise through collaborations with higher education, business, and industry professional organizations.</w:t>
            </w:r>
          </w:p>
        </w:tc>
      </w:tr>
      <w:tr w:rsidR="00461C0F" w14:paraId="7FA0113B" w14:textId="77777777" w:rsidTr="00053FC2">
        <w:tc>
          <w:tcPr>
            <w:tcW w:w="3016" w:type="dxa"/>
          </w:tcPr>
          <w:p w14:paraId="2E284FAB" w14:textId="77777777" w:rsidR="00461C0F" w:rsidRPr="00351727" w:rsidRDefault="00461C0F" w:rsidP="0035494F">
            <w:pPr>
              <w:rPr>
                <w:b/>
                <w:u w:val="single"/>
              </w:rPr>
            </w:pPr>
          </w:p>
        </w:tc>
        <w:tc>
          <w:tcPr>
            <w:tcW w:w="2675" w:type="dxa"/>
            <w:gridSpan w:val="2"/>
          </w:tcPr>
          <w:p w14:paraId="5B85211F" w14:textId="77777777" w:rsidR="00461C0F" w:rsidRPr="00351727" w:rsidRDefault="00461C0F" w:rsidP="0035494F">
            <w:pPr>
              <w:rPr>
                <w:b/>
                <w:u w:val="single"/>
              </w:rPr>
            </w:pPr>
          </w:p>
        </w:tc>
        <w:tc>
          <w:tcPr>
            <w:tcW w:w="2672" w:type="dxa"/>
            <w:gridSpan w:val="2"/>
          </w:tcPr>
          <w:p w14:paraId="1D547F7A" w14:textId="77777777" w:rsidR="00461C0F" w:rsidRPr="00351727" w:rsidRDefault="00461C0F" w:rsidP="0035494F">
            <w:pPr>
              <w:rPr>
                <w:b/>
                <w:u w:val="single"/>
              </w:rPr>
            </w:pPr>
          </w:p>
        </w:tc>
        <w:tc>
          <w:tcPr>
            <w:tcW w:w="2611" w:type="dxa"/>
            <w:gridSpan w:val="3"/>
          </w:tcPr>
          <w:p w14:paraId="676A4A04" w14:textId="77777777" w:rsidR="0026128D" w:rsidRPr="00351727" w:rsidRDefault="0026128D" w:rsidP="0035494F">
            <w:pPr>
              <w:rPr>
                <w:color w:val="000000" w:themeColor="text1"/>
                <w:sz w:val="20"/>
                <w:szCs w:val="20"/>
              </w:rPr>
            </w:pPr>
            <w:r w:rsidRPr="00351727">
              <w:rPr>
                <w:color w:val="000000" w:themeColor="text1"/>
                <w:sz w:val="20"/>
                <w:szCs w:val="20"/>
              </w:rPr>
              <w:t xml:space="preserve">Human Resources, Chancellor’s Office, ICAS </w:t>
            </w:r>
          </w:p>
          <w:p w14:paraId="4DAB1D4C" w14:textId="1C00D7FA" w:rsidR="0026128D" w:rsidRPr="00351727" w:rsidRDefault="0026128D" w:rsidP="0035494F">
            <w:pPr>
              <w:rPr>
                <w:color w:val="000000" w:themeColor="text1"/>
                <w:sz w:val="20"/>
                <w:szCs w:val="20"/>
              </w:rPr>
            </w:pPr>
          </w:p>
        </w:tc>
        <w:tc>
          <w:tcPr>
            <w:tcW w:w="2886" w:type="dxa"/>
          </w:tcPr>
          <w:p w14:paraId="388FCC5E" w14:textId="6FE55C89" w:rsidR="00461C0F" w:rsidRPr="00351727" w:rsidRDefault="0026128D" w:rsidP="0035494F">
            <w:pPr>
              <w:rPr>
                <w:sz w:val="20"/>
                <w:szCs w:val="20"/>
              </w:rPr>
            </w:pPr>
            <w:r w:rsidRPr="00351727">
              <w:rPr>
                <w:color w:val="FF0000"/>
                <w:sz w:val="20"/>
                <w:szCs w:val="20"/>
              </w:rPr>
              <w:t>ASCCC Advisory</w:t>
            </w:r>
          </w:p>
        </w:tc>
      </w:tr>
      <w:tr w:rsidR="00461C0F" w14:paraId="3D5BB3DE" w14:textId="77777777" w:rsidTr="00414C13">
        <w:tc>
          <w:tcPr>
            <w:tcW w:w="13860" w:type="dxa"/>
            <w:gridSpan w:val="9"/>
          </w:tcPr>
          <w:p w14:paraId="3AC1F188" w14:textId="73A65E21" w:rsidR="00461C0F" w:rsidRPr="00351727" w:rsidRDefault="00461C0F" w:rsidP="00461C0F">
            <w:pPr>
              <w:pStyle w:val="ListParagraph"/>
              <w:numPr>
                <w:ilvl w:val="0"/>
                <w:numId w:val="20"/>
              </w:numPr>
              <w:rPr>
                <w:rFonts w:ascii="Times New Roman" w:hAnsi="Times New Roman" w:cs="Times New Roman"/>
                <w:b/>
                <w:u w:val="single"/>
              </w:rPr>
            </w:pPr>
            <w:r w:rsidRPr="00351727">
              <w:rPr>
                <w:rFonts w:ascii="Times New Roman" w:hAnsi="Times New Roman" w:cs="Times New Roman"/>
              </w:rPr>
              <w:t>Establish a mentorship model that delineates pathways for industry professionals to intern at colleges to gain teaching skills, knowledge, and experience while pursuing an associate degree or the equivalent.</w:t>
            </w:r>
          </w:p>
        </w:tc>
      </w:tr>
      <w:tr w:rsidR="00461C0F" w14:paraId="719C98D1" w14:textId="77777777" w:rsidTr="00053FC2">
        <w:tc>
          <w:tcPr>
            <w:tcW w:w="3016" w:type="dxa"/>
          </w:tcPr>
          <w:p w14:paraId="02100DBD" w14:textId="2A3A5F13" w:rsidR="00461C0F" w:rsidRPr="00053FC2" w:rsidRDefault="00461C0F" w:rsidP="0035494F">
            <w:pPr>
              <w:rPr>
                <w:b/>
                <w:u w:val="single"/>
              </w:rPr>
            </w:pPr>
          </w:p>
        </w:tc>
        <w:tc>
          <w:tcPr>
            <w:tcW w:w="2675" w:type="dxa"/>
            <w:gridSpan w:val="2"/>
          </w:tcPr>
          <w:p w14:paraId="3CEBC714" w14:textId="77777777" w:rsidR="00461C0F" w:rsidRPr="00053FC2" w:rsidRDefault="00461C0F" w:rsidP="0035494F">
            <w:pPr>
              <w:rPr>
                <w:b/>
                <w:u w:val="single"/>
              </w:rPr>
            </w:pPr>
          </w:p>
        </w:tc>
        <w:tc>
          <w:tcPr>
            <w:tcW w:w="2672" w:type="dxa"/>
            <w:gridSpan w:val="2"/>
          </w:tcPr>
          <w:p w14:paraId="5ECFB2DB" w14:textId="7643894A" w:rsidR="00461C0F" w:rsidRPr="0026128D" w:rsidRDefault="00C764A9" w:rsidP="0035494F">
            <w:pPr>
              <w:rPr>
                <w:color w:val="000000" w:themeColor="text1"/>
                <w:sz w:val="20"/>
                <w:szCs w:val="20"/>
              </w:rPr>
            </w:pPr>
            <w:hyperlink r:id="rId14" w:history="1">
              <w:r w:rsidR="0026128D" w:rsidRPr="0026128D">
                <w:rPr>
                  <w:rStyle w:val="Hyperlink"/>
                  <w:sz w:val="20"/>
                  <w:szCs w:val="20"/>
                </w:rPr>
                <w:t>5.02 S90 Internship for more Community College Teachers</w:t>
              </w:r>
            </w:hyperlink>
            <w:r w:rsidR="0026128D" w:rsidRPr="0026128D">
              <w:rPr>
                <w:color w:val="000000" w:themeColor="text1"/>
                <w:sz w:val="20"/>
                <w:szCs w:val="20"/>
              </w:rPr>
              <w:t xml:space="preserve"> </w:t>
            </w:r>
          </w:p>
          <w:p w14:paraId="5C746378" w14:textId="77777777" w:rsidR="0026128D" w:rsidRDefault="0026128D" w:rsidP="0035494F">
            <w:pPr>
              <w:rPr>
                <w:color w:val="FF0000"/>
                <w:sz w:val="20"/>
                <w:szCs w:val="20"/>
              </w:rPr>
            </w:pPr>
          </w:p>
          <w:p w14:paraId="76FF5337" w14:textId="3C284B2F" w:rsidR="005F1F01" w:rsidRDefault="0026128D" w:rsidP="0035494F">
            <w:pPr>
              <w:rPr>
                <w:color w:val="000000" w:themeColor="text1"/>
                <w:sz w:val="20"/>
                <w:szCs w:val="20"/>
              </w:rPr>
            </w:pPr>
            <w:r>
              <w:rPr>
                <w:color w:val="000000" w:themeColor="text1"/>
                <w:sz w:val="20"/>
                <w:szCs w:val="20"/>
              </w:rPr>
              <w:t>R</w:t>
            </w:r>
            <w:r w:rsidRPr="0026128D">
              <w:rPr>
                <w:color w:val="000000" w:themeColor="text1"/>
                <w:sz w:val="20"/>
                <w:szCs w:val="20"/>
              </w:rPr>
              <w:t>ecommend that the Board of Governors adopt regulations and procedures for, and urge financial support of, a program to encourage internship programs for high school teachers and graduate students who seek to become community college teachers.</w:t>
            </w:r>
          </w:p>
          <w:p w14:paraId="0688CE18" w14:textId="77777777" w:rsidR="00D878A8" w:rsidRDefault="00D878A8" w:rsidP="0035494F">
            <w:pPr>
              <w:rPr>
                <w:color w:val="000000" w:themeColor="text1"/>
                <w:sz w:val="20"/>
                <w:szCs w:val="20"/>
              </w:rPr>
            </w:pPr>
          </w:p>
          <w:p w14:paraId="49572065" w14:textId="279F1EAF" w:rsidR="00D878A8" w:rsidRPr="00D878A8" w:rsidRDefault="00D878A8" w:rsidP="0035494F">
            <w:pPr>
              <w:rPr>
                <w:rStyle w:val="Hyperlink"/>
                <w:sz w:val="20"/>
                <w:szCs w:val="20"/>
              </w:rPr>
            </w:pPr>
            <w:r>
              <w:rPr>
                <w:color w:val="000000" w:themeColor="text1"/>
                <w:sz w:val="20"/>
                <w:szCs w:val="20"/>
              </w:rPr>
              <w:fldChar w:fldCharType="begin"/>
            </w:r>
            <w:r>
              <w:rPr>
                <w:color w:val="000000" w:themeColor="text1"/>
                <w:sz w:val="20"/>
                <w:szCs w:val="20"/>
              </w:rPr>
              <w:instrText xml:space="preserve"> HYPERLINK "http://www.asccc.org/resolutions/vocational-education-interns" </w:instrText>
            </w:r>
            <w:r>
              <w:rPr>
                <w:color w:val="000000" w:themeColor="text1"/>
                <w:sz w:val="20"/>
                <w:szCs w:val="20"/>
              </w:rPr>
              <w:fldChar w:fldCharType="separate"/>
            </w:r>
            <w:r w:rsidRPr="00D878A8">
              <w:rPr>
                <w:rStyle w:val="Hyperlink"/>
                <w:sz w:val="20"/>
                <w:szCs w:val="20"/>
              </w:rPr>
              <w:t xml:space="preserve">17.04 F93 Vocational Education: Interns </w:t>
            </w:r>
          </w:p>
          <w:p w14:paraId="2E82ACF1" w14:textId="0E40F992" w:rsidR="00D878A8" w:rsidRDefault="00D878A8" w:rsidP="0035494F">
            <w:pPr>
              <w:rPr>
                <w:color w:val="000000" w:themeColor="text1"/>
                <w:sz w:val="20"/>
                <w:szCs w:val="20"/>
              </w:rPr>
            </w:pPr>
            <w:r>
              <w:rPr>
                <w:color w:val="000000" w:themeColor="text1"/>
                <w:sz w:val="20"/>
                <w:szCs w:val="20"/>
              </w:rPr>
              <w:fldChar w:fldCharType="end"/>
            </w:r>
          </w:p>
          <w:p w14:paraId="72BB2116" w14:textId="2204E559" w:rsidR="00D878A8" w:rsidRDefault="00D878A8" w:rsidP="0035494F">
            <w:pPr>
              <w:rPr>
                <w:color w:val="000000" w:themeColor="text1"/>
                <w:sz w:val="20"/>
                <w:szCs w:val="20"/>
              </w:rPr>
            </w:pPr>
            <w:r>
              <w:rPr>
                <w:color w:val="000000" w:themeColor="text1"/>
                <w:sz w:val="20"/>
                <w:szCs w:val="20"/>
              </w:rPr>
              <w:t>R</w:t>
            </w:r>
            <w:r w:rsidRPr="00D878A8">
              <w:rPr>
                <w:color w:val="000000" w:themeColor="text1"/>
                <w:sz w:val="20"/>
                <w:szCs w:val="20"/>
              </w:rPr>
              <w:t>ecommend that the Board of Governors seek legislation to authorize faculty intern programs for those disciplines not requiring a Master's degree and who are within one year of meeting minimum qualifications for hire.</w:t>
            </w:r>
          </w:p>
          <w:p w14:paraId="70D91A9F" w14:textId="77777777" w:rsidR="005F1F01" w:rsidRDefault="005F1F01" w:rsidP="0035494F">
            <w:pPr>
              <w:rPr>
                <w:color w:val="000000" w:themeColor="text1"/>
                <w:sz w:val="20"/>
                <w:szCs w:val="20"/>
              </w:rPr>
            </w:pPr>
          </w:p>
          <w:p w14:paraId="676CBAA6" w14:textId="77777777" w:rsidR="001B0F6E" w:rsidRDefault="00C764A9" w:rsidP="0035494F">
            <w:pPr>
              <w:rPr>
                <w:color w:val="000000" w:themeColor="text1"/>
                <w:sz w:val="20"/>
                <w:szCs w:val="20"/>
              </w:rPr>
            </w:pPr>
            <w:hyperlink r:id="rId15" w:history="1">
              <w:r w:rsidR="00E60429" w:rsidRPr="001B0F6E">
                <w:rPr>
                  <w:rStyle w:val="Hyperlink"/>
                  <w:sz w:val="20"/>
                  <w:szCs w:val="20"/>
                </w:rPr>
                <w:t>9.01 S99 Future Teachers Development</w:t>
              </w:r>
            </w:hyperlink>
          </w:p>
          <w:p w14:paraId="55C1A32F" w14:textId="77777777" w:rsidR="001B0F6E" w:rsidRDefault="001B0F6E" w:rsidP="0035494F">
            <w:pPr>
              <w:rPr>
                <w:color w:val="000000" w:themeColor="text1"/>
                <w:sz w:val="20"/>
                <w:szCs w:val="20"/>
              </w:rPr>
            </w:pPr>
          </w:p>
          <w:p w14:paraId="43DA1E6E" w14:textId="33691B46" w:rsidR="00E60429" w:rsidRDefault="001B0F6E" w:rsidP="0035494F">
            <w:pPr>
              <w:rPr>
                <w:color w:val="000000" w:themeColor="text1"/>
                <w:sz w:val="20"/>
                <w:szCs w:val="20"/>
              </w:rPr>
            </w:pPr>
            <w:r>
              <w:rPr>
                <w:color w:val="000000" w:themeColor="text1"/>
                <w:sz w:val="20"/>
                <w:szCs w:val="20"/>
              </w:rPr>
              <w:t>W</w:t>
            </w:r>
            <w:r w:rsidRPr="001B0F6E">
              <w:rPr>
                <w:color w:val="000000" w:themeColor="text1"/>
                <w:sz w:val="20"/>
                <w:szCs w:val="20"/>
              </w:rPr>
              <w:t>ork with the Intersegmental Committee of Academic Senates (ICAS) to urge the faculty of the University of California and California State University to collaborate with community college faculty to develop courses and programs that better prepare those who plan to teach in community colleges; such courses may be integrated into existing programs and made prerequisite or co-requisite to internship arrangements, topics to include learning theory, diverse learning styles, and teaching practicums (where appropriate).</w:t>
            </w:r>
          </w:p>
          <w:p w14:paraId="21CE27A5" w14:textId="77777777" w:rsidR="00E60429" w:rsidRDefault="00E60429" w:rsidP="0035494F">
            <w:pPr>
              <w:rPr>
                <w:color w:val="000000" w:themeColor="text1"/>
                <w:sz w:val="20"/>
                <w:szCs w:val="20"/>
              </w:rPr>
            </w:pPr>
          </w:p>
          <w:p w14:paraId="53DF29B7" w14:textId="68FDF245" w:rsidR="005F1F01" w:rsidRPr="005F1F01" w:rsidRDefault="005F1F01" w:rsidP="0035494F">
            <w:pPr>
              <w:rPr>
                <w:rStyle w:val="Hyperlink"/>
                <w:sz w:val="20"/>
                <w:szCs w:val="20"/>
              </w:rPr>
            </w:pPr>
            <w:r>
              <w:rPr>
                <w:color w:val="000000" w:themeColor="text1"/>
                <w:sz w:val="20"/>
                <w:szCs w:val="20"/>
              </w:rPr>
              <w:fldChar w:fldCharType="begin"/>
            </w:r>
            <w:r>
              <w:rPr>
                <w:color w:val="000000" w:themeColor="text1"/>
                <w:sz w:val="20"/>
                <w:szCs w:val="20"/>
              </w:rPr>
              <w:instrText xml:space="preserve"> HYPERLINK "http://www.asccc.org/resolutions/internships" </w:instrText>
            </w:r>
            <w:r>
              <w:rPr>
                <w:color w:val="000000" w:themeColor="text1"/>
                <w:sz w:val="20"/>
                <w:szCs w:val="20"/>
              </w:rPr>
              <w:fldChar w:fldCharType="separate"/>
            </w:r>
            <w:r w:rsidRPr="005F1F01">
              <w:rPr>
                <w:rStyle w:val="Hyperlink"/>
                <w:sz w:val="20"/>
                <w:szCs w:val="20"/>
              </w:rPr>
              <w:t xml:space="preserve">17.03 S00 Internships </w:t>
            </w:r>
          </w:p>
          <w:p w14:paraId="3350374F" w14:textId="5B61F7C8" w:rsidR="005F1F01" w:rsidRDefault="005F1F01" w:rsidP="0035494F">
            <w:pPr>
              <w:rPr>
                <w:color w:val="000000" w:themeColor="text1"/>
                <w:sz w:val="20"/>
                <w:szCs w:val="20"/>
              </w:rPr>
            </w:pPr>
            <w:r>
              <w:rPr>
                <w:color w:val="000000" w:themeColor="text1"/>
                <w:sz w:val="20"/>
                <w:szCs w:val="20"/>
              </w:rPr>
              <w:fldChar w:fldCharType="end"/>
            </w:r>
          </w:p>
          <w:p w14:paraId="27F248C4" w14:textId="6422546D" w:rsidR="005F1F01" w:rsidRPr="005F1F01" w:rsidRDefault="005F1F01" w:rsidP="0035494F">
            <w:pPr>
              <w:rPr>
                <w:color w:val="000000" w:themeColor="text1"/>
                <w:sz w:val="20"/>
                <w:szCs w:val="20"/>
              </w:rPr>
            </w:pPr>
            <w:r>
              <w:rPr>
                <w:color w:val="000000" w:themeColor="text1"/>
                <w:sz w:val="20"/>
                <w:szCs w:val="20"/>
              </w:rPr>
              <w:t>E</w:t>
            </w:r>
            <w:r w:rsidRPr="005F1F01">
              <w:rPr>
                <w:color w:val="000000" w:themeColor="text1"/>
                <w:sz w:val="20"/>
                <w:szCs w:val="20"/>
              </w:rPr>
              <w:t>ncourage local academic senates to expand their colleges' participation in internship programs to improve faculty diversity.</w:t>
            </w:r>
          </w:p>
          <w:p w14:paraId="3C4125AE" w14:textId="507620A8" w:rsidR="0026128D" w:rsidRPr="0026128D" w:rsidRDefault="0026128D" w:rsidP="0035494F">
            <w:pPr>
              <w:rPr>
                <w:sz w:val="20"/>
                <w:szCs w:val="20"/>
              </w:rPr>
            </w:pPr>
          </w:p>
        </w:tc>
        <w:tc>
          <w:tcPr>
            <w:tcW w:w="2611" w:type="dxa"/>
            <w:gridSpan w:val="3"/>
          </w:tcPr>
          <w:p w14:paraId="2A4F65C5" w14:textId="77777777" w:rsidR="00461C0F" w:rsidRPr="00053FC2" w:rsidRDefault="00461C0F" w:rsidP="0035494F">
            <w:pPr>
              <w:rPr>
                <w:b/>
                <w:u w:val="single"/>
              </w:rPr>
            </w:pPr>
          </w:p>
        </w:tc>
        <w:tc>
          <w:tcPr>
            <w:tcW w:w="2886" w:type="dxa"/>
          </w:tcPr>
          <w:p w14:paraId="42FFFD13" w14:textId="4219E8A8" w:rsidR="00461C0F" w:rsidRPr="00053FC2" w:rsidRDefault="005F1F01" w:rsidP="0035494F">
            <w:pPr>
              <w:rPr>
                <w:b/>
                <w:u w:val="single"/>
              </w:rPr>
            </w:pPr>
            <w:r>
              <w:rPr>
                <w:color w:val="FF0000"/>
                <w:sz w:val="20"/>
                <w:szCs w:val="20"/>
              </w:rPr>
              <w:t>ASCCC Lead</w:t>
            </w:r>
          </w:p>
        </w:tc>
      </w:tr>
      <w:tr w:rsidR="00DA08A2" w14:paraId="44CDF965" w14:textId="77777777" w:rsidTr="00414C13">
        <w:tc>
          <w:tcPr>
            <w:tcW w:w="13860" w:type="dxa"/>
            <w:gridSpan w:val="9"/>
          </w:tcPr>
          <w:p w14:paraId="1F9F7EBE" w14:textId="663162C1" w:rsidR="00DA08A2" w:rsidRPr="00351727" w:rsidRDefault="00DA08A2" w:rsidP="00DA08A2">
            <w:pPr>
              <w:pStyle w:val="ListParagraph"/>
              <w:numPr>
                <w:ilvl w:val="0"/>
                <w:numId w:val="3"/>
              </w:numPr>
              <w:rPr>
                <w:rFonts w:ascii="Times New Roman" w:hAnsi="Times New Roman" w:cs="Times New Roman"/>
                <w:b/>
                <w:u w:val="single"/>
              </w:rPr>
            </w:pPr>
            <w:r w:rsidRPr="00351727">
              <w:rPr>
                <w:rFonts w:ascii="Times New Roman" w:hAnsi="Times New Roman" w:cs="Times New Roman"/>
                <w:b/>
              </w:rPr>
              <w:t xml:space="preserve">Consider options for meeting minimum qualifications to better integrate industry professionals who possess significant experience into CTE instructional programs. </w:t>
            </w:r>
          </w:p>
        </w:tc>
      </w:tr>
      <w:tr w:rsidR="00E052AF" w14:paraId="765E8150" w14:textId="77777777" w:rsidTr="00414C13">
        <w:tc>
          <w:tcPr>
            <w:tcW w:w="13860" w:type="dxa"/>
            <w:gridSpan w:val="9"/>
          </w:tcPr>
          <w:p w14:paraId="2CE55E46" w14:textId="77777777" w:rsidR="00E052AF" w:rsidRPr="00351727" w:rsidRDefault="00E052AF" w:rsidP="00E052AF">
            <w:pPr>
              <w:pStyle w:val="ListParagraph"/>
              <w:numPr>
                <w:ilvl w:val="0"/>
                <w:numId w:val="22"/>
              </w:numPr>
              <w:rPr>
                <w:rFonts w:ascii="Times New Roman" w:hAnsi="Times New Roman" w:cs="Times New Roman"/>
                <w:b/>
                <w:u w:val="single"/>
              </w:rPr>
            </w:pPr>
            <w:r w:rsidRPr="00351727">
              <w:rPr>
                <w:rFonts w:ascii="Times New Roman" w:hAnsi="Times New Roman" w:cs="Times New Roman"/>
              </w:rPr>
              <w:t>Convene discipline faculty statewide to establish general criteria that may be used at local colleges when granting equivalency for minimum qualifications within CTE disciplines.</w:t>
            </w:r>
          </w:p>
        </w:tc>
      </w:tr>
      <w:tr w:rsidR="00461C0F" w14:paraId="080EDC54" w14:textId="77777777" w:rsidTr="00053FC2">
        <w:tc>
          <w:tcPr>
            <w:tcW w:w="3016" w:type="dxa"/>
          </w:tcPr>
          <w:p w14:paraId="2293CAC2" w14:textId="24FEE13B" w:rsidR="00461C0F" w:rsidRPr="004A7E6A" w:rsidRDefault="009806E8" w:rsidP="0035494F">
            <w:pPr>
              <w:rPr>
                <w:color w:val="000000" w:themeColor="text1"/>
                <w:sz w:val="20"/>
                <w:szCs w:val="20"/>
              </w:rPr>
            </w:pPr>
            <w:r w:rsidRPr="004A7E6A">
              <w:rPr>
                <w:color w:val="000000" w:themeColor="text1"/>
                <w:sz w:val="20"/>
                <w:szCs w:val="20"/>
              </w:rPr>
              <w:t>Education Code – MQs and Equivalency</w:t>
            </w:r>
          </w:p>
        </w:tc>
        <w:tc>
          <w:tcPr>
            <w:tcW w:w="2675" w:type="dxa"/>
            <w:gridSpan w:val="2"/>
          </w:tcPr>
          <w:p w14:paraId="1AD62F26" w14:textId="77777777" w:rsidR="00461C0F" w:rsidRPr="004A7E6A" w:rsidRDefault="00461C0F" w:rsidP="0035494F">
            <w:pPr>
              <w:rPr>
                <w:color w:val="000000" w:themeColor="text1"/>
                <w:sz w:val="20"/>
                <w:szCs w:val="20"/>
              </w:rPr>
            </w:pPr>
          </w:p>
        </w:tc>
        <w:tc>
          <w:tcPr>
            <w:tcW w:w="2672" w:type="dxa"/>
            <w:gridSpan w:val="2"/>
          </w:tcPr>
          <w:p w14:paraId="7FAF296B" w14:textId="77777777" w:rsidR="00461C0F" w:rsidRPr="004A7E6A" w:rsidRDefault="003A1215" w:rsidP="0035494F">
            <w:pPr>
              <w:rPr>
                <w:color w:val="000000" w:themeColor="text1"/>
                <w:sz w:val="20"/>
                <w:szCs w:val="20"/>
              </w:rPr>
            </w:pPr>
            <w:r w:rsidRPr="004A7E6A">
              <w:rPr>
                <w:color w:val="000000" w:themeColor="text1"/>
                <w:sz w:val="20"/>
                <w:szCs w:val="20"/>
              </w:rPr>
              <w:t xml:space="preserve">Board of Governors delegated faculty minimum qualifications processes to the ASCCC. </w:t>
            </w:r>
          </w:p>
          <w:p w14:paraId="25DB80E6" w14:textId="77777777" w:rsidR="003A1215" w:rsidRPr="004A7E6A" w:rsidRDefault="003A1215" w:rsidP="0035494F">
            <w:pPr>
              <w:rPr>
                <w:color w:val="000000" w:themeColor="text1"/>
                <w:sz w:val="20"/>
                <w:szCs w:val="20"/>
              </w:rPr>
            </w:pPr>
          </w:p>
        </w:tc>
        <w:tc>
          <w:tcPr>
            <w:tcW w:w="2611" w:type="dxa"/>
            <w:gridSpan w:val="3"/>
          </w:tcPr>
          <w:p w14:paraId="70ECC4F4" w14:textId="77777777" w:rsidR="00461C0F" w:rsidRPr="00053FC2" w:rsidRDefault="00461C0F" w:rsidP="0035494F">
            <w:pPr>
              <w:rPr>
                <w:b/>
                <w:u w:val="single"/>
              </w:rPr>
            </w:pPr>
          </w:p>
        </w:tc>
        <w:tc>
          <w:tcPr>
            <w:tcW w:w="2886" w:type="dxa"/>
          </w:tcPr>
          <w:p w14:paraId="464CB6D5" w14:textId="5EB92437" w:rsidR="00461C0F" w:rsidRPr="003A1215" w:rsidRDefault="003A1215" w:rsidP="0035494F">
            <w:pPr>
              <w:rPr>
                <w:color w:val="FF0000"/>
                <w:sz w:val="20"/>
                <w:szCs w:val="20"/>
              </w:rPr>
            </w:pPr>
            <w:r>
              <w:rPr>
                <w:color w:val="FF0000"/>
                <w:sz w:val="20"/>
                <w:szCs w:val="20"/>
              </w:rPr>
              <w:t>ASCCC Lead</w:t>
            </w:r>
          </w:p>
        </w:tc>
      </w:tr>
      <w:tr w:rsidR="00E052AF" w14:paraId="24BF3DE7" w14:textId="77777777" w:rsidTr="00414C13">
        <w:tc>
          <w:tcPr>
            <w:tcW w:w="13860" w:type="dxa"/>
            <w:gridSpan w:val="9"/>
          </w:tcPr>
          <w:p w14:paraId="3D2738EA" w14:textId="7DD4ED19" w:rsidR="00E052AF" w:rsidRPr="00351727" w:rsidRDefault="00E052AF" w:rsidP="00E052AF">
            <w:pPr>
              <w:pStyle w:val="ListParagraph"/>
              <w:numPr>
                <w:ilvl w:val="0"/>
                <w:numId w:val="22"/>
              </w:numPr>
              <w:rPr>
                <w:rFonts w:ascii="Times New Roman" w:hAnsi="Times New Roman" w:cs="Times New Roman"/>
                <w:b/>
                <w:u w:val="single"/>
              </w:rPr>
            </w:pPr>
            <w:r w:rsidRPr="00351727">
              <w:rPr>
                <w:rFonts w:ascii="Times New Roman" w:hAnsi="Times New Roman" w:cs="Times New Roman"/>
              </w:rPr>
              <w:t>Create effective local, regional, and statewide practices for integrating industry professionals into CTE instruction such as faculty internships where needed, guest lecturing, and supplemental teaching partnerships with non-faculty and disseminate to colleges for implementation.</w:t>
            </w:r>
          </w:p>
        </w:tc>
      </w:tr>
      <w:tr w:rsidR="00461C0F" w14:paraId="1434553F" w14:textId="77777777" w:rsidTr="00053FC2">
        <w:tc>
          <w:tcPr>
            <w:tcW w:w="3016" w:type="dxa"/>
          </w:tcPr>
          <w:p w14:paraId="57B6990A" w14:textId="77777777" w:rsidR="00461C0F" w:rsidRPr="00351727" w:rsidRDefault="00461C0F" w:rsidP="0035494F">
            <w:pPr>
              <w:rPr>
                <w:b/>
                <w:u w:val="single"/>
              </w:rPr>
            </w:pPr>
          </w:p>
        </w:tc>
        <w:tc>
          <w:tcPr>
            <w:tcW w:w="2675" w:type="dxa"/>
            <w:gridSpan w:val="2"/>
          </w:tcPr>
          <w:p w14:paraId="1319F179" w14:textId="77777777" w:rsidR="00461C0F" w:rsidRPr="00351727" w:rsidRDefault="00461C0F" w:rsidP="0035494F">
            <w:pPr>
              <w:rPr>
                <w:b/>
                <w:u w:val="single"/>
              </w:rPr>
            </w:pPr>
          </w:p>
        </w:tc>
        <w:tc>
          <w:tcPr>
            <w:tcW w:w="2672" w:type="dxa"/>
            <w:gridSpan w:val="2"/>
          </w:tcPr>
          <w:p w14:paraId="65516474" w14:textId="1C87E1A3" w:rsidR="00461C0F" w:rsidRPr="00351727" w:rsidRDefault="00603B37" w:rsidP="0035494F">
            <w:pPr>
              <w:rPr>
                <w:sz w:val="20"/>
                <w:szCs w:val="20"/>
              </w:rPr>
            </w:pPr>
            <w:r w:rsidRPr="003863F4">
              <w:rPr>
                <w:color w:val="000000" w:themeColor="text1"/>
                <w:sz w:val="20"/>
                <w:szCs w:val="20"/>
              </w:rPr>
              <w:t>See 13d</w:t>
            </w:r>
            <w:r w:rsidR="009806E8" w:rsidRPr="003863F4">
              <w:rPr>
                <w:color w:val="000000" w:themeColor="text1"/>
                <w:sz w:val="20"/>
                <w:szCs w:val="20"/>
              </w:rPr>
              <w:t>**</w:t>
            </w:r>
            <w:r w:rsidR="003A1215" w:rsidRPr="003863F4">
              <w:rPr>
                <w:color w:val="000000" w:themeColor="text1"/>
                <w:sz w:val="20"/>
                <w:szCs w:val="20"/>
              </w:rPr>
              <w:t xml:space="preserve"> </w:t>
            </w:r>
          </w:p>
        </w:tc>
        <w:tc>
          <w:tcPr>
            <w:tcW w:w="2611" w:type="dxa"/>
            <w:gridSpan w:val="3"/>
          </w:tcPr>
          <w:p w14:paraId="7E87AA80" w14:textId="77777777" w:rsidR="00461C0F" w:rsidRPr="00351727" w:rsidRDefault="00461C0F" w:rsidP="0035494F">
            <w:pPr>
              <w:rPr>
                <w:b/>
                <w:u w:val="single"/>
              </w:rPr>
            </w:pPr>
          </w:p>
        </w:tc>
        <w:tc>
          <w:tcPr>
            <w:tcW w:w="2886" w:type="dxa"/>
          </w:tcPr>
          <w:p w14:paraId="35A4F413" w14:textId="3B66E008" w:rsidR="00461C0F" w:rsidRPr="00351727" w:rsidRDefault="003A1215" w:rsidP="0035494F">
            <w:pPr>
              <w:rPr>
                <w:color w:val="FF0000"/>
                <w:sz w:val="20"/>
                <w:szCs w:val="20"/>
              </w:rPr>
            </w:pPr>
            <w:r w:rsidRPr="00351727">
              <w:rPr>
                <w:color w:val="FF0000"/>
                <w:sz w:val="20"/>
                <w:szCs w:val="20"/>
              </w:rPr>
              <w:t>ASCCC Lead</w:t>
            </w:r>
          </w:p>
        </w:tc>
      </w:tr>
      <w:tr w:rsidR="00E052AF" w14:paraId="2738A83E" w14:textId="77777777" w:rsidTr="00414C13">
        <w:tc>
          <w:tcPr>
            <w:tcW w:w="13860" w:type="dxa"/>
            <w:gridSpan w:val="9"/>
          </w:tcPr>
          <w:p w14:paraId="36B70B48" w14:textId="77777777" w:rsidR="00E052AF" w:rsidRPr="00351727" w:rsidRDefault="00E052AF" w:rsidP="00E052AF">
            <w:pPr>
              <w:pStyle w:val="ListParagraph"/>
              <w:numPr>
                <w:ilvl w:val="0"/>
                <w:numId w:val="22"/>
              </w:numPr>
              <w:rPr>
                <w:rFonts w:ascii="Times New Roman" w:hAnsi="Times New Roman" w:cs="Times New Roman"/>
                <w:b/>
                <w:u w:val="single"/>
              </w:rPr>
            </w:pPr>
            <w:r w:rsidRPr="00351727">
              <w:rPr>
                <w:rFonts w:ascii="Times New Roman" w:hAnsi="Times New Roman" w:cs="Times New Roman"/>
              </w:rPr>
              <w:t>Develop an Instructional Skills Module through the ASCCC Professional Development College that includes the option of obtaining continuing education credits to provide an opportunity for industry professionals to gain teaching skills while earning college credit.</w:t>
            </w:r>
          </w:p>
        </w:tc>
      </w:tr>
      <w:tr w:rsidR="00461C0F" w14:paraId="0EF1ADF7" w14:textId="77777777" w:rsidTr="00053FC2">
        <w:tc>
          <w:tcPr>
            <w:tcW w:w="3016" w:type="dxa"/>
          </w:tcPr>
          <w:p w14:paraId="439B1941" w14:textId="3D023893" w:rsidR="00461C0F" w:rsidRPr="00351727" w:rsidRDefault="009806E8" w:rsidP="0035494F">
            <w:pPr>
              <w:rPr>
                <w:color w:val="008000"/>
                <w:sz w:val="20"/>
                <w:szCs w:val="20"/>
              </w:rPr>
            </w:pPr>
            <w:r w:rsidRPr="00351727">
              <w:rPr>
                <w:color w:val="000000" w:themeColor="text1"/>
                <w:sz w:val="20"/>
                <w:szCs w:val="20"/>
              </w:rPr>
              <w:t>Policies for faculty professional development activities</w:t>
            </w:r>
          </w:p>
        </w:tc>
        <w:tc>
          <w:tcPr>
            <w:tcW w:w="2675" w:type="dxa"/>
            <w:gridSpan w:val="2"/>
          </w:tcPr>
          <w:p w14:paraId="3024BE70" w14:textId="77777777" w:rsidR="00461C0F" w:rsidRPr="00351727" w:rsidRDefault="00461C0F" w:rsidP="0035494F">
            <w:pPr>
              <w:rPr>
                <w:b/>
                <w:u w:val="single"/>
              </w:rPr>
            </w:pPr>
          </w:p>
        </w:tc>
        <w:tc>
          <w:tcPr>
            <w:tcW w:w="2672" w:type="dxa"/>
            <w:gridSpan w:val="2"/>
          </w:tcPr>
          <w:p w14:paraId="0CAA90C7" w14:textId="77777777" w:rsidR="00461C0F" w:rsidRPr="00351727" w:rsidRDefault="00461C0F" w:rsidP="0035494F">
            <w:pPr>
              <w:rPr>
                <w:b/>
                <w:u w:val="single"/>
              </w:rPr>
            </w:pPr>
          </w:p>
        </w:tc>
        <w:tc>
          <w:tcPr>
            <w:tcW w:w="2611" w:type="dxa"/>
            <w:gridSpan w:val="3"/>
          </w:tcPr>
          <w:p w14:paraId="0680DDB7" w14:textId="77777777" w:rsidR="00461C0F" w:rsidRPr="00351727" w:rsidRDefault="00461C0F" w:rsidP="0035494F">
            <w:pPr>
              <w:rPr>
                <w:b/>
                <w:u w:val="single"/>
              </w:rPr>
            </w:pPr>
          </w:p>
        </w:tc>
        <w:tc>
          <w:tcPr>
            <w:tcW w:w="2886" w:type="dxa"/>
          </w:tcPr>
          <w:p w14:paraId="18C66A88" w14:textId="0E10819E" w:rsidR="00461C0F" w:rsidRPr="00351727" w:rsidRDefault="00895850" w:rsidP="0035494F">
            <w:pPr>
              <w:rPr>
                <w:b/>
                <w:u w:val="single"/>
              </w:rPr>
            </w:pPr>
            <w:r w:rsidRPr="00351727">
              <w:rPr>
                <w:color w:val="FF0000"/>
                <w:sz w:val="20"/>
                <w:szCs w:val="20"/>
              </w:rPr>
              <w:t>ASCCC Lead</w:t>
            </w:r>
          </w:p>
        </w:tc>
      </w:tr>
      <w:tr w:rsidR="00E052AF" w14:paraId="173E44A5" w14:textId="77777777" w:rsidTr="00414C13">
        <w:tc>
          <w:tcPr>
            <w:tcW w:w="13860" w:type="dxa"/>
            <w:gridSpan w:val="9"/>
          </w:tcPr>
          <w:p w14:paraId="68AB85F0" w14:textId="77777777" w:rsidR="00E052AF" w:rsidRPr="00351727" w:rsidRDefault="00E052AF" w:rsidP="00E052AF">
            <w:pPr>
              <w:pStyle w:val="ListParagraph"/>
              <w:numPr>
                <w:ilvl w:val="0"/>
                <w:numId w:val="22"/>
              </w:numPr>
              <w:rPr>
                <w:rFonts w:ascii="Times New Roman" w:hAnsi="Times New Roman" w:cs="Times New Roman"/>
                <w:b/>
                <w:u w:val="single"/>
              </w:rPr>
            </w:pPr>
            <w:r w:rsidRPr="00351727">
              <w:rPr>
                <w:rFonts w:ascii="Times New Roman" w:hAnsi="Times New Roman" w:cs="Times New Roman"/>
              </w:rPr>
              <w:t>Develop guidelines and training modules for CTE industry professionals who serve as on-site supervisors for work experience and internships.</w:t>
            </w:r>
          </w:p>
        </w:tc>
      </w:tr>
      <w:tr w:rsidR="00461C0F" w14:paraId="2A2CA639" w14:textId="77777777" w:rsidTr="00053FC2">
        <w:tc>
          <w:tcPr>
            <w:tcW w:w="3016" w:type="dxa"/>
          </w:tcPr>
          <w:p w14:paraId="4ADC3C77" w14:textId="77777777" w:rsidR="00461C0F" w:rsidRPr="00351727" w:rsidRDefault="00461C0F" w:rsidP="0035494F">
            <w:pPr>
              <w:rPr>
                <w:b/>
                <w:u w:val="single"/>
              </w:rPr>
            </w:pPr>
          </w:p>
        </w:tc>
        <w:tc>
          <w:tcPr>
            <w:tcW w:w="2675" w:type="dxa"/>
            <w:gridSpan w:val="2"/>
          </w:tcPr>
          <w:p w14:paraId="7E0888DA" w14:textId="77777777" w:rsidR="00461C0F" w:rsidRPr="00351727" w:rsidRDefault="00461C0F" w:rsidP="0035494F">
            <w:pPr>
              <w:rPr>
                <w:b/>
                <w:u w:val="single"/>
              </w:rPr>
            </w:pPr>
          </w:p>
        </w:tc>
        <w:tc>
          <w:tcPr>
            <w:tcW w:w="2672" w:type="dxa"/>
            <w:gridSpan w:val="2"/>
          </w:tcPr>
          <w:p w14:paraId="28771B6B" w14:textId="127D2B46" w:rsidR="00461C0F" w:rsidRPr="00351727" w:rsidRDefault="00895850" w:rsidP="0035494F">
            <w:pPr>
              <w:rPr>
                <w:b/>
                <w:u w:val="single"/>
              </w:rPr>
            </w:pPr>
            <w:r w:rsidRPr="003863F4">
              <w:rPr>
                <w:color w:val="000000" w:themeColor="text1"/>
                <w:sz w:val="20"/>
                <w:szCs w:val="20"/>
              </w:rPr>
              <w:t>See 13</w:t>
            </w:r>
            <w:r w:rsidR="009806E8" w:rsidRPr="003863F4">
              <w:rPr>
                <w:color w:val="000000" w:themeColor="text1"/>
                <w:sz w:val="20"/>
                <w:szCs w:val="20"/>
              </w:rPr>
              <w:t xml:space="preserve"> d**</w:t>
            </w:r>
          </w:p>
        </w:tc>
        <w:tc>
          <w:tcPr>
            <w:tcW w:w="2611" w:type="dxa"/>
            <w:gridSpan w:val="3"/>
          </w:tcPr>
          <w:p w14:paraId="7C639409" w14:textId="77777777" w:rsidR="00461C0F" w:rsidRPr="00351727" w:rsidRDefault="00461C0F" w:rsidP="0035494F">
            <w:pPr>
              <w:rPr>
                <w:b/>
                <w:u w:val="single"/>
              </w:rPr>
            </w:pPr>
          </w:p>
        </w:tc>
        <w:tc>
          <w:tcPr>
            <w:tcW w:w="2886" w:type="dxa"/>
          </w:tcPr>
          <w:p w14:paraId="13331801" w14:textId="0EDF1A31" w:rsidR="00461C0F" w:rsidRPr="00351727" w:rsidRDefault="00895850" w:rsidP="0035494F">
            <w:pPr>
              <w:rPr>
                <w:b/>
                <w:u w:val="single"/>
              </w:rPr>
            </w:pPr>
            <w:r w:rsidRPr="00351727">
              <w:rPr>
                <w:color w:val="FF0000"/>
                <w:sz w:val="20"/>
                <w:szCs w:val="20"/>
              </w:rPr>
              <w:t>ASCCC Lead</w:t>
            </w:r>
          </w:p>
        </w:tc>
      </w:tr>
      <w:tr w:rsidR="00E052AF" w14:paraId="07B84BF2" w14:textId="77777777" w:rsidTr="00414C13">
        <w:tc>
          <w:tcPr>
            <w:tcW w:w="13860" w:type="dxa"/>
            <w:gridSpan w:val="9"/>
          </w:tcPr>
          <w:p w14:paraId="0DF1939B" w14:textId="77777777" w:rsidR="00E052AF" w:rsidRPr="00351727" w:rsidRDefault="00E052AF" w:rsidP="00E052AF">
            <w:pPr>
              <w:pStyle w:val="ListParagraph"/>
              <w:numPr>
                <w:ilvl w:val="0"/>
                <w:numId w:val="22"/>
              </w:numPr>
              <w:rPr>
                <w:rFonts w:ascii="Times New Roman" w:hAnsi="Times New Roman" w:cs="Times New Roman"/>
                <w:b/>
                <w:u w:val="single"/>
              </w:rPr>
            </w:pPr>
            <w:r w:rsidRPr="00351727">
              <w:rPr>
                <w:rFonts w:ascii="Times New Roman" w:hAnsi="Times New Roman" w:cs="Times New Roman"/>
              </w:rPr>
              <w:t>Develop and promote guidelines to implement Title 5 §53502, Faculty Internship Minimum Qualifications, for those disciplines for which a master’s degree is not expected or required.</w:t>
            </w:r>
          </w:p>
        </w:tc>
      </w:tr>
      <w:tr w:rsidR="00461C0F" w14:paraId="2E930DA6" w14:textId="77777777" w:rsidTr="00053FC2">
        <w:tc>
          <w:tcPr>
            <w:tcW w:w="3016" w:type="dxa"/>
          </w:tcPr>
          <w:p w14:paraId="444643F4" w14:textId="77777777" w:rsidR="00461C0F" w:rsidRPr="00351727" w:rsidRDefault="00461C0F" w:rsidP="0035494F">
            <w:pPr>
              <w:rPr>
                <w:b/>
                <w:u w:val="single"/>
              </w:rPr>
            </w:pPr>
          </w:p>
        </w:tc>
        <w:tc>
          <w:tcPr>
            <w:tcW w:w="2675" w:type="dxa"/>
            <w:gridSpan w:val="2"/>
          </w:tcPr>
          <w:p w14:paraId="56A9B497" w14:textId="77777777" w:rsidR="00461C0F" w:rsidRPr="00351727" w:rsidRDefault="00461C0F" w:rsidP="0035494F">
            <w:pPr>
              <w:rPr>
                <w:b/>
                <w:u w:val="single"/>
              </w:rPr>
            </w:pPr>
          </w:p>
        </w:tc>
        <w:tc>
          <w:tcPr>
            <w:tcW w:w="2672" w:type="dxa"/>
            <w:gridSpan w:val="2"/>
          </w:tcPr>
          <w:p w14:paraId="4781F399" w14:textId="24E817D5" w:rsidR="00461C0F" w:rsidRPr="00351727" w:rsidRDefault="00895850" w:rsidP="0035494F">
            <w:pPr>
              <w:rPr>
                <w:b/>
                <w:u w:val="single"/>
              </w:rPr>
            </w:pPr>
            <w:r w:rsidRPr="003863F4">
              <w:rPr>
                <w:color w:val="000000" w:themeColor="text1"/>
                <w:sz w:val="20"/>
                <w:szCs w:val="20"/>
              </w:rPr>
              <w:t>See 13</w:t>
            </w:r>
            <w:r w:rsidR="009806E8" w:rsidRPr="003863F4">
              <w:rPr>
                <w:color w:val="000000" w:themeColor="text1"/>
                <w:sz w:val="20"/>
                <w:szCs w:val="20"/>
              </w:rPr>
              <w:t xml:space="preserve"> d**</w:t>
            </w:r>
          </w:p>
        </w:tc>
        <w:tc>
          <w:tcPr>
            <w:tcW w:w="2611" w:type="dxa"/>
            <w:gridSpan w:val="3"/>
          </w:tcPr>
          <w:p w14:paraId="5F6B2041" w14:textId="77777777" w:rsidR="00461C0F" w:rsidRPr="00351727" w:rsidRDefault="00461C0F" w:rsidP="0035494F">
            <w:pPr>
              <w:rPr>
                <w:b/>
                <w:u w:val="single"/>
              </w:rPr>
            </w:pPr>
          </w:p>
        </w:tc>
        <w:tc>
          <w:tcPr>
            <w:tcW w:w="2886" w:type="dxa"/>
          </w:tcPr>
          <w:p w14:paraId="2BC13821" w14:textId="7EBAFA9D" w:rsidR="00461C0F" w:rsidRPr="00351727" w:rsidRDefault="00895850" w:rsidP="0035494F">
            <w:pPr>
              <w:rPr>
                <w:b/>
                <w:u w:val="single"/>
              </w:rPr>
            </w:pPr>
            <w:r w:rsidRPr="00351727">
              <w:rPr>
                <w:color w:val="FF0000"/>
                <w:sz w:val="20"/>
                <w:szCs w:val="20"/>
              </w:rPr>
              <w:t>ASCCC Lead</w:t>
            </w:r>
          </w:p>
        </w:tc>
      </w:tr>
      <w:tr w:rsidR="00E052AF" w14:paraId="6690C2B0" w14:textId="77777777" w:rsidTr="00414C13">
        <w:tc>
          <w:tcPr>
            <w:tcW w:w="13860" w:type="dxa"/>
            <w:gridSpan w:val="9"/>
          </w:tcPr>
          <w:p w14:paraId="5A7F73F7" w14:textId="77777777" w:rsidR="00E052AF" w:rsidRPr="00351727" w:rsidRDefault="00E052AF" w:rsidP="00E052AF">
            <w:pPr>
              <w:pStyle w:val="ListParagraph"/>
              <w:numPr>
                <w:ilvl w:val="0"/>
                <w:numId w:val="22"/>
              </w:numPr>
              <w:rPr>
                <w:rFonts w:ascii="Times New Roman" w:hAnsi="Times New Roman" w:cs="Times New Roman"/>
                <w:b/>
                <w:u w:val="single"/>
              </w:rPr>
            </w:pPr>
            <w:r w:rsidRPr="00351727">
              <w:rPr>
                <w:rFonts w:ascii="Times New Roman" w:hAnsi="Times New Roman" w:cs="Times New Roman"/>
              </w:rPr>
              <w:t>Convene representative apprenticeship teaching faculty, labor organizations, and other stakeholders to review the appropriateness of minimum qualifications for apprenticeship instructors.</w:t>
            </w:r>
          </w:p>
        </w:tc>
      </w:tr>
      <w:tr w:rsidR="00E052AF" w14:paraId="30A66360" w14:textId="77777777" w:rsidTr="00053FC2">
        <w:tc>
          <w:tcPr>
            <w:tcW w:w="3016" w:type="dxa"/>
          </w:tcPr>
          <w:p w14:paraId="5A89D2B8" w14:textId="77777777" w:rsidR="00E052AF" w:rsidRPr="00351727" w:rsidRDefault="00E052AF" w:rsidP="0035494F">
            <w:pPr>
              <w:rPr>
                <w:b/>
                <w:u w:val="single"/>
              </w:rPr>
            </w:pPr>
          </w:p>
        </w:tc>
        <w:tc>
          <w:tcPr>
            <w:tcW w:w="2675" w:type="dxa"/>
            <w:gridSpan w:val="2"/>
          </w:tcPr>
          <w:p w14:paraId="7465D58D" w14:textId="77777777" w:rsidR="00E052AF" w:rsidRPr="00351727" w:rsidRDefault="00E052AF" w:rsidP="0035494F">
            <w:pPr>
              <w:rPr>
                <w:b/>
                <w:u w:val="single"/>
              </w:rPr>
            </w:pPr>
          </w:p>
        </w:tc>
        <w:tc>
          <w:tcPr>
            <w:tcW w:w="2672" w:type="dxa"/>
            <w:gridSpan w:val="2"/>
          </w:tcPr>
          <w:p w14:paraId="01BE73F8" w14:textId="2696FC08" w:rsidR="00E052AF" w:rsidRPr="00351727" w:rsidRDefault="007A00CA" w:rsidP="0035494F">
            <w:pPr>
              <w:rPr>
                <w:sz w:val="20"/>
                <w:szCs w:val="20"/>
              </w:rPr>
            </w:pPr>
            <w:r w:rsidRPr="00351727">
              <w:rPr>
                <w:sz w:val="20"/>
                <w:szCs w:val="20"/>
              </w:rPr>
              <w:t>See 14a</w:t>
            </w:r>
          </w:p>
        </w:tc>
        <w:tc>
          <w:tcPr>
            <w:tcW w:w="2611" w:type="dxa"/>
            <w:gridSpan w:val="3"/>
          </w:tcPr>
          <w:p w14:paraId="02739A62" w14:textId="77777777" w:rsidR="00E052AF" w:rsidRPr="00351727" w:rsidRDefault="00E052AF" w:rsidP="0035494F">
            <w:pPr>
              <w:rPr>
                <w:b/>
                <w:u w:val="single"/>
              </w:rPr>
            </w:pPr>
          </w:p>
        </w:tc>
        <w:tc>
          <w:tcPr>
            <w:tcW w:w="2886" w:type="dxa"/>
          </w:tcPr>
          <w:p w14:paraId="27F6584E" w14:textId="52FDEEAA" w:rsidR="00E052AF" w:rsidRPr="00351727" w:rsidRDefault="007A00CA" w:rsidP="0035494F">
            <w:pPr>
              <w:rPr>
                <w:b/>
                <w:u w:val="single"/>
              </w:rPr>
            </w:pPr>
            <w:r w:rsidRPr="00351727">
              <w:rPr>
                <w:color w:val="FF0000"/>
                <w:sz w:val="20"/>
                <w:szCs w:val="20"/>
              </w:rPr>
              <w:t>ASCCC Lead</w:t>
            </w:r>
          </w:p>
        </w:tc>
      </w:tr>
      <w:tr w:rsidR="008F4CDA" w14:paraId="654E098C" w14:textId="77777777" w:rsidTr="00414C13">
        <w:tc>
          <w:tcPr>
            <w:tcW w:w="13860" w:type="dxa"/>
            <w:gridSpan w:val="9"/>
          </w:tcPr>
          <w:p w14:paraId="7A3F312A" w14:textId="77777777" w:rsidR="008F4CDA" w:rsidRPr="00351727" w:rsidRDefault="008F4CDA" w:rsidP="008F4CDA">
            <w:pPr>
              <w:pStyle w:val="ListParagraph"/>
              <w:numPr>
                <w:ilvl w:val="0"/>
                <w:numId w:val="3"/>
              </w:numPr>
              <w:rPr>
                <w:rFonts w:ascii="Times New Roman" w:hAnsi="Times New Roman" w:cs="Times New Roman"/>
                <w:b/>
                <w:u w:val="single"/>
              </w:rPr>
            </w:pPr>
            <w:r w:rsidRPr="00351727">
              <w:rPr>
                <w:rFonts w:ascii="Times New Roman" w:hAnsi="Times New Roman" w:cs="Times New Roman"/>
                <w:b/>
              </w:rPr>
              <w:t>Enhance professional development opportunities for CTE faculty to maintain industry and program relevance.</w:t>
            </w:r>
          </w:p>
        </w:tc>
      </w:tr>
      <w:tr w:rsidR="00E052AF" w14:paraId="5D828F47" w14:textId="77777777" w:rsidTr="00414C13">
        <w:tc>
          <w:tcPr>
            <w:tcW w:w="13860" w:type="dxa"/>
            <w:gridSpan w:val="9"/>
          </w:tcPr>
          <w:p w14:paraId="7DD13245" w14:textId="77777777" w:rsidR="00E052AF" w:rsidRPr="00351727" w:rsidRDefault="00E052AF" w:rsidP="00E052AF">
            <w:pPr>
              <w:pStyle w:val="ListParagraph"/>
              <w:numPr>
                <w:ilvl w:val="0"/>
                <w:numId w:val="23"/>
              </w:numPr>
              <w:rPr>
                <w:rFonts w:ascii="Times New Roman" w:hAnsi="Times New Roman" w:cs="Times New Roman"/>
                <w:b/>
                <w:u w:val="single"/>
              </w:rPr>
            </w:pPr>
            <w:r w:rsidRPr="00351727">
              <w:rPr>
                <w:rFonts w:ascii="Times New Roman" w:hAnsi="Times New Roman" w:cs="Times New Roman"/>
              </w:rPr>
              <w:t>Provide all faculty with training in teaching methods and strategies, including the use of technology.</w:t>
            </w:r>
          </w:p>
        </w:tc>
      </w:tr>
      <w:tr w:rsidR="00E052AF" w14:paraId="6946A4F9" w14:textId="77777777" w:rsidTr="00053FC2">
        <w:tc>
          <w:tcPr>
            <w:tcW w:w="3016" w:type="dxa"/>
          </w:tcPr>
          <w:p w14:paraId="74BF8DB4" w14:textId="6040AAFC" w:rsidR="00E052AF" w:rsidRPr="004A7E6A" w:rsidRDefault="009806E8" w:rsidP="0035494F">
            <w:pPr>
              <w:rPr>
                <w:sz w:val="20"/>
                <w:szCs w:val="20"/>
              </w:rPr>
            </w:pPr>
            <w:r w:rsidRPr="004A7E6A">
              <w:rPr>
                <w:color w:val="000000" w:themeColor="text1"/>
                <w:sz w:val="20"/>
                <w:szCs w:val="20"/>
              </w:rPr>
              <w:t>Policies for faculty professional development activities</w:t>
            </w:r>
          </w:p>
        </w:tc>
        <w:tc>
          <w:tcPr>
            <w:tcW w:w="2675" w:type="dxa"/>
            <w:gridSpan w:val="2"/>
          </w:tcPr>
          <w:p w14:paraId="73AC1658" w14:textId="77777777" w:rsidR="00E052AF" w:rsidRPr="00053FC2" w:rsidRDefault="00E052AF" w:rsidP="0035494F">
            <w:pPr>
              <w:rPr>
                <w:b/>
                <w:u w:val="single"/>
              </w:rPr>
            </w:pPr>
          </w:p>
        </w:tc>
        <w:tc>
          <w:tcPr>
            <w:tcW w:w="2672" w:type="dxa"/>
            <w:gridSpan w:val="2"/>
          </w:tcPr>
          <w:p w14:paraId="2BE213CC" w14:textId="77777777" w:rsidR="00E052AF" w:rsidRPr="00053FC2" w:rsidRDefault="00E052AF" w:rsidP="0035494F">
            <w:pPr>
              <w:rPr>
                <w:b/>
                <w:u w:val="single"/>
              </w:rPr>
            </w:pPr>
          </w:p>
        </w:tc>
        <w:tc>
          <w:tcPr>
            <w:tcW w:w="2611" w:type="dxa"/>
            <w:gridSpan w:val="3"/>
          </w:tcPr>
          <w:p w14:paraId="1B1E4D42" w14:textId="6429FAEE" w:rsidR="009806E8" w:rsidRPr="003863F4" w:rsidRDefault="009806E8" w:rsidP="0035494F">
            <w:pPr>
              <w:rPr>
                <w:color w:val="000000" w:themeColor="text1"/>
                <w:sz w:val="20"/>
                <w:szCs w:val="20"/>
              </w:rPr>
            </w:pPr>
            <w:r w:rsidRPr="003863F4">
              <w:rPr>
                <w:color w:val="000000" w:themeColor="text1"/>
                <w:sz w:val="20"/>
                <w:szCs w:val="20"/>
              </w:rPr>
              <w:t>OEI?</w:t>
            </w:r>
            <w:r w:rsidR="003863F4">
              <w:rPr>
                <w:color w:val="000000" w:themeColor="text1"/>
                <w:sz w:val="20"/>
                <w:szCs w:val="20"/>
              </w:rPr>
              <w:t xml:space="preserve"> </w:t>
            </w:r>
            <w:r w:rsidRPr="003863F4">
              <w:rPr>
                <w:color w:val="000000" w:themeColor="text1"/>
                <w:sz w:val="20"/>
                <w:szCs w:val="20"/>
              </w:rPr>
              <w:t>@One?</w:t>
            </w:r>
          </w:p>
        </w:tc>
        <w:tc>
          <w:tcPr>
            <w:tcW w:w="2886" w:type="dxa"/>
          </w:tcPr>
          <w:p w14:paraId="74868FC6" w14:textId="3D9F345D" w:rsidR="00E052AF" w:rsidRPr="00053FC2" w:rsidRDefault="004D3F42" w:rsidP="0035494F">
            <w:pPr>
              <w:rPr>
                <w:b/>
                <w:u w:val="single"/>
              </w:rPr>
            </w:pPr>
            <w:r>
              <w:rPr>
                <w:color w:val="FF0000"/>
                <w:sz w:val="20"/>
                <w:szCs w:val="20"/>
              </w:rPr>
              <w:t>ASCCC Lead</w:t>
            </w:r>
          </w:p>
        </w:tc>
      </w:tr>
      <w:tr w:rsidR="00E052AF" w14:paraId="1F98BBEA" w14:textId="77777777" w:rsidTr="00414C13">
        <w:tc>
          <w:tcPr>
            <w:tcW w:w="13860" w:type="dxa"/>
            <w:gridSpan w:val="9"/>
          </w:tcPr>
          <w:p w14:paraId="5633E303" w14:textId="53833B1D" w:rsidR="00E052AF" w:rsidRPr="00351727" w:rsidRDefault="00E052AF" w:rsidP="00E052AF">
            <w:pPr>
              <w:pStyle w:val="ListParagraph"/>
              <w:numPr>
                <w:ilvl w:val="0"/>
                <w:numId w:val="23"/>
              </w:numPr>
              <w:rPr>
                <w:rFonts w:ascii="Times New Roman" w:hAnsi="Times New Roman" w:cs="Times New Roman"/>
                <w:b/>
                <w:u w:val="single"/>
              </w:rPr>
            </w:pPr>
            <w:r w:rsidRPr="00351727">
              <w:rPr>
                <w:rFonts w:ascii="Times New Roman" w:hAnsi="Times New Roman" w:cs="Times New Roman"/>
              </w:rPr>
              <w:t>Identify and address structural barriers that prevent full- and part-time faculty participation in professional development and create fiscal and other incentives that address reassigned time, externships and other methods of skill upgrades to ensure currency.</w:t>
            </w:r>
          </w:p>
        </w:tc>
      </w:tr>
      <w:tr w:rsidR="00E052AF" w14:paraId="61E939F6" w14:textId="77777777" w:rsidTr="00053FC2">
        <w:tc>
          <w:tcPr>
            <w:tcW w:w="3016" w:type="dxa"/>
          </w:tcPr>
          <w:p w14:paraId="416DC0F9" w14:textId="1FA8A8D5" w:rsidR="00E052AF" w:rsidRPr="004D3F42" w:rsidRDefault="004D3F42" w:rsidP="0035494F">
            <w:pPr>
              <w:rPr>
                <w:sz w:val="20"/>
                <w:szCs w:val="20"/>
              </w:rPr>
            </w:pPr>
            <w:r>
              <w:rPr>
                <w:sz w:val="20"/>
                <w:szCs w:val="20"/>
              </w:rPr>
              <w:t xml:space="preserve">Policies for faculty development activities </w:t>
            </w:r>
          </w:p>
        </w:tc>
        <w:tc>
          <w:tcPr>
            <w:tcW w:w="2675" w:type="dxa"/>
            <w:gridSpan w:val="2"/>
          </w:tcPr>
          <w:p w14:paraId="2A90D671" w14:textId="77777777" w:rsidR="00E052AF" w:rsidRPr="00053FC2" w:rsidRDefault="00E052AF" w:rsidP="0035494F">
            <w:pPr>
              <w:rPr>
                <w:b/>
                <w:u w:val="single"/>
              </w:rPr>
            </w:pPr>
          </w:p>
        </w:tc>
        <w:tc>
          <w:tcPr>
            <w:tcW w:w="2672" w:type="dxa"/>
            <w:gridSpan w:val="2"/>
          </w:tcPr>
          <w:p w14:paraId="117F798E" w14:textId="77777777" w:rsidR="00E052AF" w:rsidRPr="00053FC2" w:rsidRDefault="00E052AF" w:rsidP="0035494F">
            <w:pPr>
              <w:rPr>
                <w:b/>
                <w:u w:val="single"/>
              </w:rPr>
            </w:pPr>
          </w:p>
        </w:tc>
        <w:tc>
          <w:tcPr>
            <w:tcW w:w="2611" w:type="dxa"/>
            <w:gridSpan w:val="3"/>
          </w:tcPr>
          <w:p w14:paraId="62670185" w14:textId="77777777" w:rsidR="00E052AF" w:rsidRPr="00053FC2" w:rsidRDefault="00E052AF" w:rsidP="0035494F">
            <w:pPr>
              <w:rPr>
                <w:b/>
                <w:u w:val="single"/>
              </w:rPr>
            </w:pPr>
          </w:p>
        </w:tc>
        <w:tc>
          <w:tcPr>
            <w:tcW w:w="2886" w:type="dxa"/>
          </w:tcPr>
          <w:p w14:paraId="24B2295A" w14:textId="2461AD13" w:rsidR="00E052AF" w:rsidRPr="00053FC2" w:rsidRDefault="004D3F42" w:rsidP="0035494F">
            <w:pPr>
              <w:rPr>
                <w:b/>
                <w:u w:val="single"/>
              </w:rPr>
            </w:pPr>
            <w:r>
              <w:rPr>
                <w:color w:val="FF0000"/>
                <w:sz w:val="20"/>
                <w:szCs w:val="20"/>
              </w:rPr>
              <w:t>ASCCC Lead</w:t>
            </w:r>
          </w:p>
        </w:tc>
      </w:tr>
      <w:tr w:rsidR="00E052AF" w14:paraId="7358C0BC" w14:textId="77777777" w:rsidTr="004A7E6A">
        <w:trPr>
          <w:trHeight w:val="710"/>
        </w:trPr>
        <w:tc>
          <w:tcPr>
            <w:tcW w:w="13860" w:type="dxa"/>
            <w:gridSpan w:val="9"/>
          </w:tcPr>
          <w:p w14:paraId="4B616B28" w14:textId="77777777" w:rsidR="00E052AF" w:rsidRPr="00351727" w:rsidRDefault="00E052AF" w:rsidP="00E052AF">
            <w:pPr>
              <w:pStyle w:val="ListParagraph"/>
              <w:numPr>
                <w:ilvl w:val="0"/>
                <w:numId w:val="23"/>
              </w:numPr>
              <w:rPr>
                <w:rFonts w:ascii="Times New Roman" w:hAnsi="Times New Roman" w:cs="Times New Roman"/>
                <w:b/>
                <w:u w:val="single"/>
              </w:rPr>
            </w:pPr>
            <w:r w:rsidRPr="00351727">
              <w:rPr>
                <w:rFonts w:ascii="Times New Roman" w:hAnsi="Times New Roman" w:cs="Times New Roman"/>
              </w:rPr>
              <w:t>Provide professional development for counselors to support the use of career and educational planning tools common to secondary education, adult education and community colleges.</w:t>
            </w:r>
          </w:p>
        </w:tc>
      </w:tr>
      <w:tr w:rsidR="00E052AF" w14:paraId="1C97CB34" w14:textId="77777777" w:rsidTr="00053FC2">
        <w:tc>
          <w:tcPr>
            <w:tcW w:w="3016" w:type="dxa"/>
          </w:tcPr>
          <w:p w14:paraId="2EE6D905" w14:textId="2BEC6F1F" w:rsidR="00E052AF" w:rsidRPr="00351727" w:rsidRDefault="009806E8" w:rsidP="0035494F">
            <w:pPr>
              <w:rPr>
                <w:sz w:val="20"/>
                <w:szCs w:val="20"/>
              </w:rPr>
            </w:pPr>
            <w:r w:rsidRPr="00351727">
              <w:rPr>
                <w:color w:val="000000" w:themeColor="text1"/>
                <w:sz w:val="20"/>
                <w:szCs w:val="20"/>
              </w:rPr>
              <w:t>Policies for faculty professional development activities</w:t>
            </w:r>
          </w:p>
        </w:tc>
        <w:tc>
          <w:tcPr>
            <w:tcW w:w="2675" w:type="dxa"/>
            <w:gridSpan w:val="2"/>
          </w:tcPr>
          <w:p w14:paraId="69205DDF" w14:textId="77777777" w:rsidR="00E052AF" w:rsidRPr="00351727" w:rsidRDefault="00E052AF" w:rsidP="0035494F">
            <w:pPr>
              <w:rPr>
                <w:b/>
                <w:u w:val="single"/>
              </w:rPr>
            </w:pPr>
          </w:p>
        </w:tc>
        <w:tc>
          <w:tcPr>
            <w:tcW w:w="2672" w:type="dxa"/>
            <w:gridSpan w:val="2"/>
          </w:tcPr>
          <w:p w14:paraId="19BE11AD" w14:textId="77777777" w:rsidR="00E052AF" w:rsidRPr="00351727" w:rsidRDefault="00E052AF" w:rsidP="0035494F">
            <w:pPr>
              <w:rPr>
                <w:b/>
                <w:u w:val="single"/>
              </w:rPr>
            </w:pPr>
          </w:p>
        </w:tc>
        <w:tc>
          <w:tcPr>
            <w:tcW w:w="2611" w:type="dxa"/>
            <w:gridSpan w:val="3"/>
          </w:tcPr>
          <w:p w14:paraId="2BB8CF46" w14:textId="77777777" w:rsidR="00E052AF" w:rsidRPr="00351727" w:rsidRDefault="00E052AF" w:rsidP="0035494F">
            <w:pPr>
              <w:rPr>
                <w:b/>
                <w:u w:val="single"/>
              </w:rPr>
            </w:pPr>
          </w:p>
        </w:tc>
        <w:tc>
          <w:tcPr>
            <w:tcW w:w="2886" w:type="dxa"/>
          </w:tcPr>
          <w:p w14:paraId="6BF47776" w14:textId="33BF3D33" w:rsidR="00E052AF" w:rsidRPr="00351727" w:rsidRDefault="005922F1" w:rsidP="0035494F">
            <w:pPr>
              <w:rPr>
                <w:b/>
                <w:u w:val="single"/>
              </w:rPr>
            </w:pPr>
            <w:r w:rsidRPr="00351727">
              <w:rPr>
                <w:color w:val="FF0000"/>
                <w:sz w:val="20"/>
                <w:szCs w:val="20"/>
              </w:rPr>
              <w:t>ASCCC Lead</w:t>
            </w:r>
          </w:p>
        </w:tc>
      </w:tr>
      <w:tr w:rsidR="00E052AF" w14:paraId="750913EC" w14:textId="77777777" w:rsidTr="00414C13">
        <w:tc>
          <w:tcPr>
            <w:tcW w:w="13860" w:type="dxa"/>
            <w:gridSpan w:val="9"/>
          </w:tcPr>
          <w:p w14:paraId="065B3B92" w14:textId="77777777" w:rsidR="00E052AF" w:rsidRPr="00351727" w:rsidRDefault="00E052AF" w:rsidP="00E052AF">
            <w:pPr>
              <w:pStyle w:val="ListParagraph"/>
              <w:numPr>
                <w:ilvl w:val="0"/>
                <w:numId w:val="23"/>
              </w:numPr>
              <w:rPr>
                <w:rFonts w:ascii="Times New Roman" w:hAnsi="Times New Roman" w:cs="Times New Roman"/>
                <w:b/>
                <w:u w:val="single"/>
              </w:rPr>
            </w:pPr>
            <w:r w:rsidRPr="00351727">
              <w:rPr>
                <w:rFonts w:ascii="Times New Roman" w:hAnsi="Times New Roman" w:cs="Times New Roman"/>
              </w:rPr>
              <w:t>Increase opportunities for CTE faculty to participate in professional development such as sabbaticals, industry events and training to augment discipline knowledge and connections with employers and the workforce system.</w:t>
            </w:r>
          </w:p>
        </w:tc>
      </w:tr>
      <w:tr w:rsidR="00E052AF" w14:paraId="3317936D" w14:textId="77777777" w:rsidTr="00053FC2">
        <w:tc>
          <w:tcPr>
            <w:tcW w:w="3016" w:type="dxa"/>
          </w:tcPr>
          <w:p w14:paraId="784E344D" w14:textId="286FCF7B" w:rsidR="00E052AF" w:rsidRPr="00351727" w:rsidRDefault="009806E8" w:rsidP="0035494F">
            <w:pPr>
              <w:rPr>
                <w:sz w:val="20"/>
                <w:szCs w:val="20"/>
              </w:rPr>
            </w:pPr>
            <w:r w:rsidRPr="00351727">
              <w:rPr>
                <w:color w:val="000000" w:themeColor="text1"/>
                <w:sz w:val="20"/>
                <w:szCs w:val="20"/>
              </w:rPr>
              <w:t>Policies for faculty professional development activities</w:t>
            </w:r>
          </w:p>
        </w:tc>
        <w:tc>
          <w:tcPr>
            <w:tcW w:w="2675" w:type="dxa"/>
            <w:gridSpan w:val="2"/>
          </w:tcPr>
          <w:p w14:paraId="6B3959A4" w14:textId="77777777" w:rsidR="00E052AF" w:rsidRPr="00351727" w:rsidRDefault="00E052AF" w:rsidP="0035494F">
            <w:pPr>
              <w:rPr>
                <w:b/>
                <w:u w:val="single"/>
              </w:rPr>
            </w:pPr>
          </w:p>
        </w:tc>
        <w:tc>
          <w:tcPr>
            <w:tcW w:w="2672" w:type="dxa"/>
            <w:gridSpan w:val="2"/>
          </w:tcPr>
          <w:p w14:paraId="1230E988" w14:textId="77777777" w:rsidR="00E052AF" w:rsidRPr="00351727" w:rsidRDefault="00E052AF" w:rsidP="0035494F">
            <w:pPr>
              <w:rPr>
                <w:b/>
                <w:u w:val="single"/>
              </w:rPr>
            </w:pPr>
          </w:p>
        </w:tc>
        <w:tc>
          <w:tcPr>
            <w:tcW w:w="2611" w:type="dxa"/>
            <w:gridSpan w:val="3"/>
          </w:tcPr>
          <w:p w14:paraId="797BD11B" w14:textId="77777777" w:rsidR="00E052AF" w:rsidRPr="00351727" w:rsidRDefault="00E052AF" w:rsidP="0035494F">
            <w:pPr>
              <w:rPr>
                <w:b/>
                <w:u w:val="single"/>
              </w:rPr>
            </w:pPr>
          </w:p>
        </w:tc>
        <w:tc>
          <w:tcPr>
            <w:tcW w:w="2886" w:type="dxa"/>
          </w:tcPr>
          <w:p w14:paraId="4F87BD4C" w14:textId="77777777" w:rsidR="00E052AF" w:rsidRPr="00351727" w:rsidRDefault="005922F1" w:rsidP="0035494F">
            <w:pPr>
              <w:rPr>
                <w:color w:val="FF0000"/>
                <w:sz w:val="20"/>
                <w:szCs w:val="20"/>
              </w:rPr>
            </w:pPr>
            <w:r w:rsidRPr="00351727">
              <w:rPr>
                <w:color w:val="FF0000"/>
                <w:sz w:val="20"/>
                <w:szCs w:val="20"/>
              </w:rPr>
              <w:t>ASCCC Lead</w:t>
            </w:r>
          </w:p>
          <w:p w14:paraId="1E11FCAF" w14:textId="4A9BA14C" w:rsidR="005922F1" w:rsidRPr="00351727" w:rsidRDefault="005922F1" w:rsidP="0035494F">
            <w:pPr>
              <w:rPr>
                <w:b/>
                <w:u w:val="single"/>
              </w:rPr>
            </w:pPr>
          </w:p>
        </w:tc>
      </w:tr>
      <w:tr w:rsidR="008F4CDA" w14:paraId="7A25CA97" w14:textId="77777777" w:rsidTr="00414C13">
        <w:tc>
          <w:tcPr>
            <w:tcW w:w="13860" w:type="dxa"/>
            <w:gridSpan w:val="9"/>
          </w:tcPr>
          <w:p w14:paraId="2A7F8BE0" w14:textId="77777777" w:rsidR="008F4CDA" w:rsidRPr="00351727" w:rsidRDefault="008F4CDA" w:rsidP="008F4CDA">
            <w:pPr>
              <w:pStyle w:val="ListParagraph"/>
              <w:numPr>
                <w:ilvl w:val="0"/>
                <w:numId w:val="3"/>
              </w:numPr>
              <w:rPr>
                <w:rFonts w:ascii="Times New Roman" w:hAnsi="Times New Roman" w:cs="Times New Roman"/>
                <w:b/>
                <w:u w:val="single"/>
              </w:rPr>
            </w:pPr>
            <w:r w:rsidRPr="00351727">
              <w:rPr>
                <w:rFonts w:ascii="Times New Roman" w:hAnsi="Times New Roman" w:cs="Times New Roman"/>
                <w:b/>
              </w:rPr>
              <w:t>Explore solutions to attract industry professionals in high-salaried occupations to become CTE faculty in community colleges.</w:t>
            </w:r>
          </w:p>
        </w:tc>
      </w:tr>
      <w:tr w:rsidR="00E052AF" w14:paraId="457A7F33" w14:textId="77777777" w:rsidTr="003863F4">
        <w:trPr>
          <w:trHeight w:val="323"/>
        </w:trPr>
        <w:tc>
          <w:tcPr>
            <w:tcW w:w="13860" w:type="dxa"/>
            <w:gridSpan w:val="9"/>
          </w:tcPr>
          <w:p w14:paraId="16DA083B" w14:textId="77777777" w:rsidR="00E052AF" w:rsidRPr="00351727" w:rsidRDefault="00E052AF" w:rsidP="00E052AF">
            <w:pPr>
              <w:pStyle w:val="ListParagraph"/>
              <w:numPr>
                <w:ilvl w:val="0"/>
                <w:numId w:val="24"/>
              </w:numPr>
              <w:rPr>
                <w:rFonts w:ascii="Times New Roman" w:hAnsi="Times New Roman" w:cs="Times New Roman"/>
                <w:b/>
                <w:u w:val="single"/>
              </w:rPr>
            </w:pPr>
            <w:r w:rsidRPr="00351727">
              <w:rPr>
                <w:rFonts w:ascii="Times New Roman" w:hAnsi="Times New Roman" w:cs="Times New Roman"/>
              </w:rPr>
              <w:t>Create and share models and best practices developed as part of local labor negotiations to address the salary differential needs in high-pay fields.</w:t>
            </w:r>
          </w:p>
        </w:tc>
      </w:tr>
      <w:tr w:rsidR="00E052AF" w14:paraId="2A7DAA55" w14:textId="77777777" w:rsidTr="00053FC2">
        <w:tc>
          <w:tcPr>
            <w:tcW w:w="3016" w:type="dxa"/>
          </w:tcPr>
          <w:p w14:paraId="076E911C" w14:textId="77777777" w:rsidR="00E052AF" w:rsidRPr="00351727" w:rsidRDefault="00E052AF" w:rsidP="0035494F">
            <w:pPr>
              <w:rPr>
                <w:b/>
                <w:u w:val="single"/>
              </w:rPr>
            </w:pPr>
          </w:p>
        </w:tc>
        <w:tc>
          <w:tcPr>
            <w:tcW w:w="2675" w:type="dxa"/>
            <w:gridSpan w:val="2"/>
          </w:tcPr>
          <w:p w14:paraId="37C1A0E3" w14:textId="77777777" w:rsidR="00E052AF" w:rsidRPr="00351727" w:rsidRDefault="00E052AF" w:rsidP="0035494F">
            <w:pPr>
              <w:rPr>
                <w:b/>
                <w:u w:val="single"/>
              </w:rPr>
            </w:pPr>
          </w:p>
        </w:tc>
        <w:tc>
          <w:tcPr>
            <w:tcW w:w="2672" w:type="dxa"/>
            <w:gridSpan w:val="2"/>
          </w:tcPr>
          <w:p w14:paraId="1A45E368" w14:textId="77777777" w:rsidR="00E052AF" w:rsidRPr="00351727" w:rsidRDefault="00E052AF" w:rsidP="0035494F">
            <w:pPr>
              <w:rPr>
                <w:b/>
                <w:u w:val="single"/>
              </w:rPr>
            </w:pPr>
          </w:p>
        </w:tc>
        <w:tc>
          <w:tcPr>
            <w:tcW w:w="2611" w:type="dxa"/>
            <w:gridSpan w:val="3"/>
          </w:tcPr>
          <w:p w14:paraId="0631D671" w14:textId="77777777" w:rsidR="00E052AF" w:rsidRPr="00351727" w:rsidRDefault="00E052AF" w:rsidP="0035494F">
            <w:pPr>
              <w:rPr>
                <w:b/>
                <w:u w:val="single"/>
              </w:rPr>
            </w:pPr>
          </w:p>
        </w:tc>
        <w:tc>
          <w:tcPr>
            <w:tcW w:w="2886" w:type="dxa"/>
          </w:tcPr>
          <w:p w14:paraId="40FC4F5E" w14:textId="329D5B6A" w:rsidR="00E052AF" w:rsidRPr="00351727" w:rsidRDefault="00C75883" w:rsidP="00C75883">
            <w:pPr>
              <w:rPr>
                <w:b/>
                <w:u w:val="single"/>
              </w:rPr>
            </w:pPr>
            <w:r w:rsidRPr="00351727">
              <w:rPr>
                <w:color w:val="FF0000"/>
                <w:sz w:val="20"/>
                <w:szCs w:val="20"/>
              </w:rPr>
              <w:t xml:space="preserve">ASCCC Advisory </w:t>
            </w:r>
          </w:p>
        </w:tc>
      </w:tr>
      <w:tr w:rsidR="00E052AF" w14:paraId="3685D7CE" w14:textId="77777777" w:rsidTr="00414C13">
        <w:tc>
          <w:tcPr>
            <w:tcW w:w="13860" w:type="dxa"/>
            <w:gridSpan w:val="9"/>
          </w:tcPr>
          <w:p w14:paraId="31FC48E9" w14:textId="77777777" w:rsidR="00E052AF" w:rsidRPr="00351727" w:rsidRDefault="00E052AF" w:rsidP="00E052AF">
            <w:pPr>
              <w:pStyle w:val="ListParagraph"/>
              <w:numPr>
                <w:ilvl w:val="0"/>
                <w:numId w:val="24"/>
              </w:numPr>
              <w:rPr>
                <w:rFonts w:ascii="Times New Roman" w:hAnsi="Times New Roman" w:cs="Times New Roman"/>
                <w:b/>
                <w:u w:val="single"/>
              </w:rPr>
            </w:pPr>
            <w:r w:rsidRPr="00351727">
              <w:rPr>
                <w:rFonts w:ascii="Times New Roman" w:hAnsi="Times New Roman" w:cs="Times New Roman"/>
              </w:rPr>
              <w:t>Encourage partnership with industry and the local community to support salary differential needs.</w:t>
            </w:r>
          </w:p>
        </w:tc>
      </w:tr>
      <w:tr w:rsidR="00E052AF" w14:paraId="4918B5B9" w14:textId="77777777" w:rsidTr="00053FC2">
        <w:tc>
          <w:tcPr>
            <w:tcW w:w="3016" w:type="dxa"/>
          </w:tcPr>
          <w:p w14:paraId="47B4C66A" w14:textId="77777777" w:rsidR="00E052AF" w:rsidRPr="00053FC2" w:rsidRDefault="00E052AF" w:rsidP="0035494F">
            <w:pPr>
              <w:rPr>
                <w:b/>
                <w:u w:val="single"/>
              </w:rPr>
            </w:pPr>
          </w:p>
        </w:tc>
        <w:tc>
          <w:tcPr>
            <w:tcW w:w="2675" w:type="dxa"/>
            <w:gridSpan w:val="2"/>
          </w:tcPr>
          <w:p w14:paraId="7D2C9C68" w14:textId="77777777" w:rsidR="00E052AF" w:rsidRPr="00053FC2" w:rsidRDefault="00E052AF" w:rsidP="0035494F">
            <w:pPr>
              <w:rPr>
                <w:b/>
                <w:u w:val="single"/>
              </w:rPr>
            </w:pPr>
          </w:p>
        </w:tc>
        <w:tc>
          <w:tcPr>
            <w:tcW w:w="2672" w:type="dxa"/>
            <w:gridSpan w:val="2"/>
          </w:tcPr>
          <w:p w14:paraId="3379420F" w14:textId="77777777" w:rsidR="00E052AF" w:rsidRPr="00053FC2" w:rsidRDefault="00E052AF" w:rsidP="0035494F">
            <w:pPr>
              <w:rPr>
                <w:b/>
                <w:u w:val="single"/>
              </w:rPr>
            </w:pPr>
          </w:p>
        </w:tc>
        <w:tc>
          <w:tcPr>
            <w:tcW w:w="2611" w:type="dxa"/>
            <w:gridSpan w:val="3"/>
          </w:tcPr>
          <w:p w14:paraId="4DE81217" w14:textId="77777777" w:rsidR="00E052AF" w:rsidRPr="00053FC2" w:rsidRDefault="00E052AF" w:rsidP="0035494F">
            <w:pPr>
              <w:rPr>
                <w:b/>
                <w:u w:val="single"/>
              </w:rPr>
            </w:pPr>
          </w:p>
        </w:tc>
        <w:tc>
          <w:tcPr>
            <w:tcW w:w="2886" w:type="dxa"/>
          </w:tcPr>
          <w:p w14:paraId="5B0AD19F" w14:textId="59C8C666" w:rsidR="00E052AF" w:rsidRPr="00053FC2" w:rsidRDefault="00C75883" w:rsidP="00C75883">
            <w:pPr>
              <w:rPr>
                <w:b/>
                <w:u w:val="single"/>
              </w:rPr>
            </w:pPr>
            <w:r>
              <w:rPr>
                <w:color w:val="FF0000"/>
                <w:sz w:val="20"/>
                <w:szCs w:val="20"/>
              </w:rPr>
              <w:t xml:space="preserve">ASCCC Advisory </w:t>
            </w:r>
          </w:p>
        </w:tc>
      </w:tr>
      <w:tr w:rsidR="008F4CDA" w14:paraId="01DCE218" w14:textId="77777777" w:rsidTr="00E052AF">
        <w:tc>
          <w:tcPr>
            <w:tcW w:w="13860" w:type="dxa"/>
            <w:gridSpan w:val="9"/>
            <w:shd w:val="clear" w:color="auto" w:fill="BFBFBF" w:themeFill="background1" w:themeFillShade="BF"/>
          </w:tcPr>
          <w:p w14:paraId="0BD4E835" w14:textId="77777777" w:rsidR="008F4CDA" w:rsidRPr="008F4CDA" w:rsidRDefault="008F4CDA" w:rsidP="008F4CDA">
            <w:pPr>
              <w:jc w:val="center"/>
              <w:rPr>
                <w:b/>
              </w:rPr>
            </w:pPr>
            <w:r>
              <w:rPr>
                <w:b/>
              </w:rPr>
              <w:t>REGIONAL COORDINATION</w:t>
            </w:r>
          </w:p>
        </w:tc>
      </w:tr>
      <w:tr w:rsidR="008F4CDA" w14:paraId="0286BE3B" w14:textId="77777777" w:rsidTr="00414C13">
        <w:tc>
          <w:tcPr>
            <w:tcW w:w="13860" w:type="dxa"/>
            <w:gridSpan w:val="9"/>
          </w:tcPr>
          <w:p w14:paraId="11DA65F9" w14:textId="77777777" w:rsidR="008F4CDA" w:rsidRPr="00351727" w:rsidRDefault="008F4CDA" w:rsidP="008F4CDA">
            <w:pPr>
              <w:pStyle w:val="ListParagraph"/>
              <w:numPr>
                <w:ilvl w:val="0"/>
                <w:numId w:val="3"/>
              </w:numPr>
              <w:rPr>
                <w:rFonts w:ascii="Times New Roman" w:hAnsi="Times New Roman" w:cs="Times New Roman"/>
                <w:b/>
              </w:rPr>
            </w:pPr>
            <w:r w:rsidRPr="00351727">
              <w:rPr>
                <w:rFonts w:ascii="Times New Roman" w:hAnsi="Times New Roman" w:cs="Times New Roman"/>
                <w:b/>
              </w:rPr>
              <w:t>Strengthen communication, coordination, and decision-making between regional CTE efforts and the colleges to meet regional labor market needs.</w:t>
            </w:r>
          </w:p>
        </w:tc>
      </w:tr>
      <w:tr w:rsidR="001D1FDE" w14:paraId="5C0BD244" w14:textId="77777777" w:rsidTr="00414C13">
        <w:tc>
          <w:tcPr>
            <w:tcW w:w="13860" w:type="dxa"/>
            <w:gridSpan w:val="9"/>
          </w:tcPr>
          <w:p w14:paraId="063C8D77" w14:textId="77777777" w:rsidR="001D1FDE" w:rsidRPr="00351727" w:rsidRDefault="001D1FDE" w:rsidP="001D1FDE">
            <w:pPr>
              <w:pStyle w:val="ListParagraph"/>
              <w:numPr>
                <w:ilvl w:val="0"/>
                <w:numId w:val="25"/>
              </w:numPr>
              <w:rPr>
                <w:rFonts w:ascii="Times New Roman" w:hAnsi="Times New Roman" w:cs="Times New Roman"/>
                <w:b/>
                <w:u w:val="single"/>
              </w:rPr>
            </w:pPr>
            <w:r w:rsidRPr="00351727">
              <w:rPr>
                <w:rFonts w:ascii="Times New Roman" w:hAnsi="Times New Roman" w:cs="Times New Roman"/>
              </w:rPr>
              <w:t>Clarify the role and fiscal management structure of the Regional Consortia, Sector Navigators, Deputy Sector Navigators, and Technical Assistance Providers and their relationships with the CCCCO and the colleges.</w:t>
            </w:r>
          </w:p>
        </w:tc>
      </w:tr>
      <w:tr w:rsidR="00E052AF" w14:paraId="5D6AE814" w14:textId="77777777" w:rsidTr="00C75883">
        <w:trPr>
          <w:trHeight w:val="314"/>
        </w:trPr>
        <w:tc>
          <w:tcPr>
            <w:tcW w:w="3016" w:type="dxa"/>
          </w:tcPr>
          <w:p w14:paraId="4C8E68D7" w14:textId="77777777" w:rsidR="00E052AF" w:rsidRPr="00351727" w:rsidRDefault="00E052AF" w:rsidP="0035494F">
            <w:pPr>
              <w:rPr>
                <w:b/>
                <w:u w:val="single"/>
              </w:rPr>
            </w:pPr>
          </w:p>
        </w:tc>
        <w:tc>
          <w:tcPr>
            <w:tcW w:w="2675" w:type="dxa"/>
            <w:gridSpan w:val="2"/>
          </w:tcPr>
          <w:p w14:paraId="0E58CB1D" w14:textId="77777777" w:rsidR="00E052AF" w:rsidRPr="00351727" w:rsidRDefault="00E052AF" w:rsidP="0035494F">
            <w:pPr>
              <w:rPr>
                <w:b/>
                <w:u w:val="single"/>
              </w:rPr>
            </w:pPr>
          </w:p>
        </w:tc>
        <w:tc>
          <w:tcPr>
            <w:tcW w:w="2672" w:type="dxa"/>
            <w:gridSpan w:val="2"/>
          </w:tcPr>
          <w:p w14:paraId="7F74C430" w14:textId="77777777" w:rsidR="00E052AF" w:rsidRPr="00351727" w:rsidRDefault="00E052AF" w:rsidP="0035494F">
            <w:pPr>
              <w:rPr>
                <w:b/>
                <w:u w:val="single"/>
              </w:rPr>
            </w:pPr>
          </w:p>
        </w:tc>
        <w:tc>
          <w:tcPr>
            <w:tcW w:w="2611" w:type="dxa"/>
            <w:gridSpan w:val="3"/>
          </w:tcPr>
          <w:p w14:paraId="409B20D3" w14:textId="77777777" w:rsidR="00E052AF" w:rsidRPr="00351727" w:rsidRDefault="00C75883" w:rsidP="0035494F">
            <w:pPr>
              <w:rPr>
                <w:sz w:val="20"/>
                <w:szCs w:val="20"/>
              </w:rPr>
            </w:pPr>
            <w:r w:rsidRPr="00351727">
              <w:rPr>
                <w:sz w:val="20"/>
                <w:szCs w:val="20"/>
              </w:rPr>
              <w:t xml:space="preserve">Regional Consortia </w:t>
            </w:r>
          </w:p>
          <w:p w14:paraId="3D976F88" w14:textId="1A4721DD" w:rsidR="00D00043" w:rsidRPr="00351727" w:rsidRDefault="00D00043" w:rsidP="0035494F">
            <w:pPr>
              <w:rPr>
                <w:color w:val="660066"/>
                <w:sz w:val="20"/>
                <w:szCs w:val="20"/>
              </w:rPr>
            </w:pPr>
            <w:r w:rsidRPr="00351727">
              <w:rPr>
                <w:color w:val="660066"/>
                <w:sz w:val="20"/>
                <w:szCs w:val="20"/>
              </w:rPr>
              <w:t>DWM</w:t>
            </w:r>
          </w:p>
        </w:tc>
        <w:tc>
          <w:tcPr>
            <w:tcW w:w="2886" w:type="dxa"/>
          </w:tcPr>
          <w:p w14:paraId="759E8540" w14:textId="6B8AA9BE" w:rsidR="00E052AF" w:rsidRPr="00351727" w:rsidRDefault="00C75883" w:rsidP="0035494F">
            <w:pPr>
              <w:rPr>
                <w:b/>
                <w:u w:val="single"/>
              </w:rPr>
            </w:pPr>
            <w:r w:rsidRPr="00351727">
              <w:rPr>
                <w:color w:val="FF0000"/>
                <w:sz w:val="20"/>
                <w:szCs w:val="20"/>
              </w:rPr>
              <w:t>ASCCC Advisory</w:t>
            </w:r>
          </w:p>
        </w:tc>
      </w:tr>
      <w:tr w:rsidR="001D1FDE" w14:paraId="4D8C1AAD" w14:textId="77777777" w:rsidTr="00414C13">
        <w:tc>
          <w:tcPr>
            <w:tcW w:w="13860" w:type="dxa"/>
            <w:gridSpan w:val="9"/>
          </w:tcPr>
          <w:p w14:paraId="69561C9B" w14:textId="77777777" w:rsidR="001D1FDE" w:rsidRPr="00351727" w:rsidRDefault="001D1FDE" w:rsidP="001D1FDE">
            <w:pPr>
              <w:pStyle w:val="ListParagraph"/>
              <w:numPr>
                <w:ilvl w:val="0"/>
                <w:numId w:val="27"/>
              </w:numPr>
              <w:rPr>
                <w:rFonts w:ascii="Times New Roman" w:hAnsi="Times New Roman" w:cs="Times New Roman"/>
              </w:rPr>
            </w:pPr>
            <w:r w:rsidRPr="00351727">
              <w:rPr>
                <w:rFonts w:ascii="Times New Roman" w:hAnsi="Times New Roman" w:cs="Times New Roman"/>
              </w:rPr>
              <w:t xml:space="preserve">Ensure that the CTE regional framework is designed to do the following: </w:t>
            </w:r>
          </w:p>
          <w:p w14:paraId="2794623E" w14:textId="77777777" w:rsidR="001D1FDE" w:rsidRPr="00351727" w:rsidRDefault="001D1FDE" w:rsidP="001D1FDE">
            <w:pPr>
              <w:pStyle w:val="ListParagraph"/>
              <w:numPr>
                <w:ilvl w:val="0"/>
                <w:numId w:val="26"/>
              </w:numPr>
              <w:rPr>
                <w:rFonts w:ascii="Times New Roman" w:hAnsi="Times New Roman" w:cs="Times New Roman"/>
              </w:rPr>
            </w:pPr>
            <w:r w:rsidRPr="00351727">
              <w:rPr>
                <w:rFonts w:ascii="Times New Roman" w:hAnsi="Times New Roman" w:cs="Times New Roman"/>
              </w:rPr>
              <w:t xml:space="preserve">Designate labor market driven priority and emerging sectors in coordination with employers, workforce boards and economic development entities. </w:t>
            </w:r>
          </w:p>
          <w:p w14:paraId="0289A8A3" w14:textId="77777777" w:rsidR="001D1FDE" w:rsidRPr="00351727" w:rsidRDefault="001D1FDE" w:rsidP="001D1FDE">
            <w:pPr>
              <w:pStyle w:val="ListParagraph"/>
              <w:numPr>
                <w:ilvl w:val="0"/>
                <w:numId w:val="26"/>
              </w:numPr>
              <w:rPr>
                <w:rFonts w:ascii="Times New Roman" w:hAnsi="Times New Roman" w:cs="Times New Roman"/>
              </w:rPr>
            </w:pPr>
            <w:r w:rsidRPr="00351727">
              <w:rPr>
                <w:rFonts w:ascii="Times New Roman" w:hAnsi="Times New Roman" w:cs="Times New Roman"/>
              </w:rPr>
              <w:t xml:space="preserve">Coordinate colleges within the region to meet business and industry needs. </w:t>
            </w:r>
          </w:p>
          <w:p w14:paraId="76172CF5" w14:textId="77777777" w:rsidR="001D1FDE" w:rsidRPr="00351727" w:rsidRDefault="001D1FDE" w:rsidP="001D1FDE">
            <w:pPr>
              <w:pStyle w:val="ListParagraph"/>
              <w:numPr>
                <w:ilvl w:val="0"/>
                <w:numId w:val="26"/>
              </w:numPr>
              <w:rPr>
                <w:rFonts w:ascii="Times New Roman" w:hAnsi="Times New Roman" w:cs="Times New Roman"/>
              </w:rPr>
            </w:pPr>
            <w:r w:rsidRPr="00351727">
              <w:rPr>
                <w:rFonts w:ascii="Times New Roman" w:hAnsi="Times New Roman" w:cs="Times New Roman"/>
              </w:rPr>
              <w:t xml:space="preserve">Convene discussions about development of common CTE entry pathways and industry-valued credentials based on regional industry needs. </w:t>
            </w:r>
          </w:p>
          <w:p w14:paraId="7224B89A" w14:textId="77777777" w:rsidR="001D1FDE" w:rsidRPr="00351727" w:rsidRDefault="001D1FDE" w:rsidP="001D1FDE">
            <w:pPr>
              <w:pStyle w:val="ListParagraph"/>
              <w:numPr>
                <w:ilvl w:val="0"/>
                <w:numId w:val="26"/>
              </w:numPr>
              <w:rPr>
                <w:rFonts w:ascii="Times New Roman" w:hAnsi="Times New Roman" w:cs="Times New Roman"/>
              </w:rPr>
            </w:pPr>
            <w:r w:rsidRPr="00351727">
              <w:rPr>
                <w:rFonts w:ascii="Times New Roman" w:hAnsi="Times New Roman" w:cs="Times New Roman"/>
              </w:rPr>
              <w:t xml:space="preserve">Share best practices on regional coordination, communication, and decision-making. </w:t>
            </w:r>
          </w:p>
          <w:p w14:paraId="05CAD79F" w14:textId="77777777" w:rsidR="001D1FDE" w:rsidRPr="00351727" w:rsidRDefault="001D1FDE" w:rsidP="001D1FDE">
            <w:pPr>
              <w:pStyle w:val="ListParagraph"/>
              <w:numPr>
                <w:ilvl w:val="0"/>
                <w:numId w:val="26"/>
              </w:numPr>
              <w:rPr>
                <w:rFonts w:ascii="Times New Roman" w:hAnsi="Times New Roman" w:cs="Times New Roman"/>
              </w:rPr>
            </w:pPr>
            <w:r w:rsidRPr="00351727">
              <w:rPr>
                <w:rFonts w:ascii="Times New Roman" w:hAnsi="Times New Roman" w:cs="Times New Roman"/>
              </w:rPr>
              <w:t xml:space="preserve">Conduct joint marketing and facilitate asset and equipment sharing. </w:t>
            </w:r>
          </w:p>
          <w:p w14:paraId="51BEA2FC" w14:textId="77777777" w:rsidR="001D1FDE" w:rsidRPr="00351727" w:rsidRDefault="001D1FDE" w:rsidP="001D1FDE">
            <w:pPr>
              <w:pStyle w:val="ListParagraph"/>
              <w:numPr>
                <w:ilvl w:val="0"/>
                <w:numId w:val="26"/>
              </w:numPr>
              <w:rPr>
                <w:rFonts w:ascii="Times New Roman" w:hAnsi="Times New Roman" w:cs="Times New Roman"/>
              </w:rPr>
            </w:pPr>
            <w:r w:rsidRPr="00351727">
              <w:rPr>
                <w:rFonts w:ascii="Times New Roman" w:hAnsi="Times New Roman" w:cs="Times New Roman"/>
              </w:rPr>
              <w:t xml:space="preserve">Support joint professional development of faculty to respond to evolving skill needs of industry sectors. </w:t>
            </w:r>
          </w:p>
          <w:p w14:paraId="197F8E8B" w14:textId="77777777" w:rsidR="001D1FDE" w:rsidRPr="00351727" w:rsidRDefault="001D1FDE" w:rsidP="001D1FDE">
            <w:pPr>
              <w:pStyle w:val="ListParagraph"/>
              <w:numPr>
                <w:ilvl w:val="0"/>
                <w:numId w:val="26"/>
              </w:numPr>
              <w:rPr>
                <w:rFonts w:ascii="Times New Roman" w:hAnsi="Times New Roman" w:cs="Times New Roman"/>
                <w:b/>
                <w:u w:val="single"/>
              </w:rPr>
            </w:pPr>
            <w:r w:rsidRPr="00351727">
              <w:rPr>
                <w:rFonts w:ascii="Times New Roman" w:hAnsi="Times New Roman" w:cs="Times New Roman"/>
              </w:rPr>
              <w:t>Provide other needs and strategies as prioritized by the region.</w:t>
            </w:r>
          </w:p>
        </w:tc>
      </w:tr>
      <w:tr w:rsidR="00E052AF" w14:paraId="6DA83EC3" w14:textId="77777777" w:rsidTr="00053FC2">
        <w:tc>
          <w:tcPr>
            <w:tcW w:w="3016" w:type="dxa"/>
          </w:tcPr>
          <w:p w14:paraId="12E830D3" w14:textId="77777777" w:rsidR="00E052AF" w:rsidRPr="00053FC2" w:rsidRDefault="00E052AF" w:rsidP="0035494F">
            <w:pPr>
              <w:rPr>
                <w:b/>
                <w:u w:val="single"/>
              </w:rPr>
            </w:pPr>
          </w:p>
        </w:tc>
        <w:tc>
          <w:tcPr>
            <w:tcW w:w="2675" w:type="dxa"/>
            <w:gridSpan w:val="2"/>
          </w:tcPr>
          <w:p w14:paraId="70A5B730" w14:textId="77777777" w:rsidR="00E052AF" w:rsidRPr="00053FC2" w:rsidRDefault="00E052AF" w:rsidP="0035494F">
            <w:pPr>
              <w:rPr>
                <w:b/>
                <w:u w:val="single"/>
              </w:rPr>
            </w:pPr>
          </w:p>
        </w:tc>
        <w:tc>
          <w:tcPr>
            <w:tcW w:w="2672" w:type="dxa"/>
            <w:gridSpan w:val="2"/>
          </w:tcPr>
          <w:p w14:paraId="2071908B" w14:textId="77777777" w:rsidR="00E052AF" w:rsidRPr="004A7E6A" w:rsidRDefault="00E052AF" w:rsidP="0035494F">
            <w:pPr>
              <w:rPr>
                <w:color w:val="000000" w:themeColor="text1"/>
                <w:sz w:val="20"/>
                <w:szCs w:val="20"/>
              </w:rPr>
            </w:pPr>
          </w:p>
        </w:tc>
        <w:tc>
          <w:tcPr>
            <w:tcW w:w="2611" w:type="dxa"/>
            <w:gridSpan w:val="3"/>
          </w:tcPr>
          <w:p w14:paraId="3FC2F1BF" w14:textId="35EAC9AB" w:rsidR="00E052AF" w:rsidRPr="004A7E6A" w:rsidRDefault="00D00043" w:rsidP="0035494F">
            <w:pPr>
              <w:rPr>
                <w:color w:val="000000" w:themeColor="text1"/>
                <w:sz w:val="20"/>
                <w:szCs w:val="20"/>
              </w:rPr>
            </w:pPr>
            <w:r w:rsidRPr="004A7E6A">
              <w:rPr>
                <w:color w:val="000000" w:themeColor="text1"/>
                <w:sz w:val="20"/>
                <w:szCs w:val="20"/>
              </w:rPr>
              <w:t>DWM</w:t>
            </w:r>
          </w:p>
        </w:tc>
        <w:tc>
          <w:tcPr>
            <w:tcW w:w="2886" w:type="dxa"/>
          </w:tcPr>
          <w:p w14:paraId="34C110A4" w14:textId="662C0EB7" w:rsidR="00E052AF" w:rsidRPr="00053FC2" w:rsidRDefault="00C75883" w:rsidP="0035494F">
            <w:pPr>
              <w:rPr>
                <w:b/>
                <w:u w:val="single"/>
              </w:rPr>
            </w:pPr>
            <w:r>
              <w:rPr>
                <w:color w:val="FF0000"/>
                <w:sz w:val="20"/>
                <w:szCs w:val="20"/>
              </w:rPr>
              <w:t>ASCCC Advisory</w:t>
            </w:r>
          </w:p>
        </w:tc>
      </w:tr>
      <w:tr w:rsidR="008F4CDA" w14:paraId="4F0D36EB" w14:textId="77777777" w:rsidTr="00414C13">
        <w:tc>
          <w:tcPr>
            <w:tcW w:w="13860" w:type="dxa"/>
            <w:gridSpan w:val="9"/>
          </w:tcPr>
          <w:p w14:paraId="6A7CC136" w14:textId="77777777" w:rsidR="008F4CDA" w:rsidRPr="00351727" w:rsidRDefault="008F4CDA" w:rsidP="008F4CDA">
            <w:pPr>
              <w:pStyle w:val="ListParagraph"/>
              <w:numPr>
                <w:ilvl w:val="0"/>
                <w:numId w:val="3"/>
              </w:numPr>
              <w:rPr>
                <w:rFonts w:ascii="Times New Roman" w:hAnsi="Times New Roman" w:cs="Times New Roman"/>
                <w:b/>
                <w:u w:val="single"/>
              </w:rPr>
            </w:pPr>
            <w:r w:rsidRPr="00351727">
              <w:rPr>
                <w:rFonts w:ascii="Times New Roman" w:hAnsi="Times New Roman" w:cs="Times New Roman"/>
                <w:b/>
              </w:rPr>
              <w:t xml:space="preserve">Clarify and modify, as appropriate, state regulations to allow colleges to regionalize course articulation along career pathways utilizing regional or state curriculum models. </w:t>
            </w:r>
          </w:p>
        </w:tc>
      </w:tr>
      <w:tr w:rsidR="00FF538E" w14:paraId="5E69B4F3" w14:textId="77777777" w:rsidTr="00053FC2">
        <w:tc>
          <w:tcPr>
            <w:tcW w:w="3016" w:type="dxa"/>
          </w:tcPr>
          <w:p w14:paraId="4900AA57" w14:textId="77777777" w:rsidR="00FF538E" w:rsidRPr="00351727" w:rsidRDefault="00FF538E" w:rsidP="0035494F">
            <w:pPr>
              <w:rPr>
                <w:b/>
                <w:u w:val="single"/>
              </w:rPr>
            </w:pPr>
          </w:p>
        </w:tc>
        <w:tc>
          <w:tcPr>
            <w:tcW w:w="2675" w:type="dxa"/>
            <w:gridSpan w:val="2"/>
          </w:tcPr>
          <w:p w14:paraId="3993A4B2" w14:textId="77777777" w:rsidR="00FF538E" w:rsidRPr="00351727" w:rsidRDefault="00FF538E" w:rsidP="0035494F">
            <w:pPr>
              <w:rPr>
                <w:b/>
                <w:u w:val="single"/>
              </w:rPr>
            </w:pPr>
          </w:p>
        </w:tc>
        <w:tc>
          <w:tcPr>
            <w:tcW w:w="2672" w:type="dxa"/>
            <w:gridSpan w:val="2"/>
          </w:tcPr>
          <w:p w14:paraId="73D2ED9E" w14:textId="77777777" w:rsidR="00FF538E" w:rsidRPr="00351727" w:rsidRDefault="00FF538E" w:rsidP="00724D1D">
            <w:pPr>
              <w:rPr>
                <w:rStyle w:val="Hyperlink"/>
                <w:sz w:val="20"/>
                <w:szCs w:val="20"/>
              </w:rPr>
            </w:pPr>
            <w:r w:rsidRPr="00351727">
              <w:rPr>
                <w:sz w:val="20"/>
                <w:szCs w:val="20"/>
              </w:rPr>
              <w:fldChar w:fldCharType="begin"/>
            </w:r>
            <w:r w:rsidRPr="00351727">
              <w:rPr>
                <w:sz w:val="20"/>
                <w:szCs w:val="20"/>
              </w:rPr>
              <w:instrText xml:space="preserve"> HYPERLINK "http://www.asccc.org/resolutions/investigate-regional-coordination-course-offerings" </w:instrText>
            </w:r>
            <w:r w:rsidRPr="00351727">
              <w:rPr>
                <w:sz w:val="20"/>
                <w:szCs w:val="20"/>
              </w:rPr>
              <w:fldChar w:fldCharType="separate"/>
            </w:r>
            <w:r w:rsidRPr="00351727">
              <w:rPr>
                <w:rStyle w:val="Hyperlink"/>
                <w:sz w:val="20"/>
                <w:szCs w:val="20"/>
              </w:rPr>
              <w:t>9.01 S13 Investigate Regional Coordination of Course Offerings</w:t>
            </w:r>
          </w:p>
          <w:p w14:paraId="4080D4D5" w14:textId="77777777" w:rsidR="00FF538E" w:rsidRPr="00351727" w:rsidRDefault="00FF538E" w:rsidP="00FF538E">
            <w:pPr>
              <w:rPr>
                <w:sz w:val="20"/>
                <w:szCs w:val="20"/>
              </w:rPr>
            </w:pPr>
            <w:r w:rsidRPr="00351727">
              <w:rPr>
                <w:sz w:val="20"/>
                <w:szCs w:val="20"/>
              </w:rPr>
              <w:fldChar w:fldCharType="end"/>
            </w:r>
          </w:p>
          <w:p w14:paraId="501BE26E" w14:textId="2971D582" w:rsidR="00FF538E" w:rsidRPr="00351727" w:rsidRDefault="00FF538E" w:rsidP="00FF538E">
            <w:pPr>
              <w:rPr>
                <w:sz w:val="20"/>
                <w:szCs w:val="20"/>
              </w:rPr>
            </w:pPr>
            <w:r w:rsidRPr="00351727">
              <w:rPr>
                <w:sz w:val="20"/>
                <w:szCs w:val="20"/>
              </w:rPr>
              <w:t>Research the feasibility of and suggest possible strategies and effective practices for regional coordination of course offerings among colleges to improve course availability for students and report the findings at the Fall 2014 Plenary Session.</w:t>
            </w:r>
          </w:p>
          <w:p w14:paraId="70221960" w14:textId="7DF2BC7B" w:rsidR="00FF538E" w:rsidRPr="00351727" w:rsidRDefault="00FF538E" w:rsidP="0035494F">
            <w:pPr>
              <w:rPr>
                <w:sz w:val="20"/>
                <w:szCs w:val="20"/>
              </w:rPr>
            </w:pPr>
          </w:p>
        </w:tc>
        <w:tc>
          <w:tcPr>
            <w:tcW w:w="2611" w:type="dxa"/>
            <w:gridSpan w:val="3"/>
          </w:tcPr>
          <w:p w14:paraId="67347A79" w14:textId="77777777" w:rsidR="00FF538E" w:rsidRPr="00351727" w:rsidRDefault="00FF538E" w:rsidP="0035494F">
            <w:pPr>
              <w:rPr>
                <w:b/>
                <w:u w:val="single"/>
              </w:rPr>
            </w:pPr>
          </w:p>
        </w:tc>
        <w:tc>
          <w:tcPr>
            <w:tcW w:w="2886" w:type="dxa"/>
          </w:tcPr>
          <w:p w14:paraId="634B64DF" w14:textId="0B47694F" w:rsidR="00FF538E" w:rsidRPr="00351727" w:rsidRDefault="00FF538E" w:rsidP="0035494F">
            <w:pPr>
              <w:rPr>
                <w:color w:val="FF0000"/>
                <w:sz w:val="20"/>
                <w:szCs w:val="20"/>
              </w:rPr>
            </w:pPr>
            <w:r w:rsidRPr="00351727">
              <w:rPr>
                <w:color w:val="FF0000"/>
                <w:sz w:val="20"/>
                <w:szCs w:val="20"/>
              </w:rPr>
              <w:t>ASCCC Lead</w:t>
            </w:r>
            <w:r w:rsidR="00D00043" w:rsidRPr="00351727">
              <w:rPr>
                <w:color w:val="FF0000"/>
                <w:sz w:val="20"/>
                <w:szCs w:val="20"/>
              </w:rPr>
              <w:t xml:space="preserve"> </w:t>
            </w:r>
            <w:r w:rsidR="00D00043" w:rsidRPr="00351727">
              <w:rPr>
                <w:color w:val="660066"/>
                <w:sz w:val="20"/>
                <w:szCs w:val="20"/>
              </w:rPr>
              <w:t>(Advisory?)</w:t>
            </w:r>
          </w:p>
        </w:tc>
      </w:tr>
      <w:tr w:rsidR="00FF538E" w14:paraId="42619F09" w14:textId="77777777" w:rsidTr="00414C13">
        <w:tc>
          <w:tcPr>
            <w:tcW w:w="13860" w:type="dxa"/>
            <w:gridSpan w:val="9"/>
          </w:tcPr>
          <w:p w14:paraId="184FA45F" w14:textId="77777777" w:rsidR="00FF538E" w:rsidRPr="00351727" w:rsidRDefault="00FF538E" w:rsidP="008F4CDA">
            <w:pPr>
              <w:pStyle w:val="ListParagraph"/>
              <w:numPr>
                <w:ilvl w:val="0"/>
                <w:numId w:val="3"/>
              </w:numPr>
              <w:rPr>
                <w:rFonts w:ascii="Times New Roman" w:hAnsi="Times New Roman" w:cs="Times New Roman"/>
                <w:b/>
              </w:rPr>
            </w:pPr>
            <w:r w:rsidRPr="00351727">
              <w:rPr>
                <w:rFonts w:ascii="Times New Roman" w:hAnsi="Times New Roman" w:cs="Times New Roman"/>
                <w:b/>
              </w:rPr>
              <w:t xml:space="preserve">Develop regional leadership and operational partnerships among community college, industry, labor, and other workforce and economic development entities to improve the delivery of all CTE efforts. </w:t>
            </w:r>
          </w:p>
        </w:tc>
      </w:tr>
      <w:tr w:rsidR="00FF538E" w14:paraId="5EE54A0C" w14:textId="77777777" w:rsidTr="00414C13">
        <w:tc>
          <w:tcPr>
            <w:tcW w:w="13860" w:type="dxa"/>
            <w:gridSpan w:val="9"/>
          </w:tcPr>
          <w:p w14:paraId="361F03E5" w14:textId="77777777" w:rsidR="00FF538E" w:rsidRPr="00351727" w:rsidRDefault="00FF538E" w:rsidP="001D1FDE">
            <w:pPr>
              <w:pStyle w:val="ListParagraph"/>
              <w:numPr>
                <w:ilvl w:val="0"/>
                <w:numId w:val="29"/>
              </w:numPr>
              <w:ind w:left="702"/>
              <w:rPr>
                <w:rFonts w:ascii="Times New Roman" w:hAnsi="Times New Roman" w:cs="Times New Roman"/>
                <w:b/>
                <w:u w:val="single"/>
              </w:rPr>
            </w:pPr>
            <w:r w:rsidRPr="00351727">
              <w:rPr>
                <w:rFonts w:ascii="Times New Roman" w:hAnsi="Times New Roman" w:cs="Times New Roman"/>
              </w:rPr>
              <w:t>Coordinate industry and labor engagement tied to sector strategies.</w:t>
            </w:r>
          </w:p>
        </w:tc>
      </w:tr>
      <w:tr w:rsidR="00FF538E" w14:paraId="55B70B4B" w14:textId="77777777" w:rsidTr="00053FC2">
        <w:tc>
          <w:tcPr>
            <w:tcW w:w="3016" w:type="dxa"/>
          </w:tcPr>
          <w:p w14:paraId="1D5690BE" w14:textId="77777777" w:rsidR="00FF538E" w:rsidRPr="00053FC2" w:rsidRDefault="00FF538E" w:rsidP="0035494F">
            <w:pPr>
              <w:rPr>
                <w:b/>
                <w:u w:val="single"/>
              </w:rPr>
            </w:pPr>
          </w:p>
        </w:tc>
        <w:tc>
          <w:tcPr>
            <w:tcW w:w="2675" w:type="dxa"/>
            <w:gridSpan w:val="2"/>
          </w:tcPr>
          <w:p w14:paraId="1CFB8F75" w14:textId="77777777" w:rsidR="00FF538E" w:rsidRPr="00053FC2" w:rsidRDefault="00FF538E" w:rsidP="0035494F">
            <w:pPr>
              <w:rPr>
                <w:b/>
                <w:u w:val="single"/>
              </w:rPr>
            </w:pPr>
          </w:p>
        </w:tc>
        <w:tc>
          <w:tcPr>
            <w:tcW w:w="2672" w:type="dxa"/>
            <w:gridSpan w:val="2"/>
          </w:tcPr>
          <w:p w14:paraId="79BB4B73" w14:textId="4FC0443C" w:rsidR="00FF538E" w:rsidRPr="00053FC2" w:rsidRDefault="00FF538E" w:rsidP="0035494F">
            <w:pPr>
              <w:rPr>
                <w:b/>
                <w:u w:val="single"/>
              </w:rPr>
            </w:pPr>
          </w:p>
        </w:tc>
        <w:tc>
          <w:tcPr>
            <w:tcW w:w="2611" w:type="dxa"/>
            <w:gridSpan w:val="3"/>
          </w:tcPr>
          <w:p w14:paraId="4AF69F5A" w14:textId="113A8424" w:rsidR="009054A2" w:rsidRDefault="009054A2" w:rsidP="009054A2">
            <w:pPr>
              <w:rPr>
                <w:sz w:val="20"/>
                <w:szCs w:val="20"/>
              </w:rPr>
            </w:pPr>
            <w:r>
              <w:rPr>
                <w:sz w:val="20"/>
                <w:szCs w:val="20"/>
              </w:rPr>
              <w:t xml:space="preserve">Regional </w:t>
            </w:r>
            <w:r w:rsidR="00C3674A">
              <w:rPr>
                <w:sz w:val="20"/>
                <w:szCs w:val="20"/>
              </w:rPr>
              <w:t>Consortia</w:t>
            </w:r>
            <w:r>
              <w:rPr>
                <w:sz w:val="20"/>
                <w:szCs w:val="20"/>
              </w:rPr>
              <w:t>, CCCAOE, Chancellor’s Office</w:t>
            </w:r>
          </w:p>
          <w:p w14:paraId="214A73B7" w14:textId="77777777" w:rsidR="00FF538E" w:rsidRPr="00053FC2" w:rsidRDefault="00FF538E" w:rsidP="0035494F">
            <w:pPr>
              <w:rPr>
                <w:b/>
                <w:u w:val="single"/>
              </w:rPr>
            </w:pPr>
          </w:p>
        </w:tc>
        <w:tc>
          <w:tcPr>
            <w:tcW w:w="2886" w:type="dxa"/>
          </w:tcPr>
          <w:p w14:paraId="4045ED8D" w14:textId="1B6BA594" w:rsidR="00FF538E" w:rsidRPr="00053FC2" w:rsidRDefault="009054A2" w:rsidP="0035494F">
            <w:pPr>
              <w:rPr>
                <w:b/>
                <w:u w:val="single"/>
              </w:rPr>
            </w:pPr>
            <w:r>
              <w:rPr>
                <w:color w:val="FF0000"/>
                <w:sz w:val="20"/>
                <w:szCs w:val="20"/>
              </w:rPr>
              <w:t>ASCCC Advisory</w:t>
            </w:r>
          </w:p>
        </w:tc>
      </w:tr>
      <w:tr w:rsidR="00FF538E" w14:paraId="2E24B83B" w14:textId="77777777" w:rsidTr="00414C13">
        <w:tc>
          <w:tcPr>
            <w:tcW w:w="13860" w:type="dxa"/>
            <w:gridSpan w:val="9"/>
          </w:tcPr>
          <w:p w14:paraId="6A392A9D" w14:textId="1B8382DA" w:rsidR="00FF538E" w:rsidRPr="00351727" w:rsidRDefault="00FF538E" w:rsidP="001D1FDE">
            <w:pPr>
              <w:pStyle w:val="ListParagraph"/>
              <w:numPr>
                <w:ilvl w:val="0"/>
                <w:numId w:val="29"/>
              </w:numPr>
              <w:ind w:left="702"/>
              <w:rPr>
                <w:rFonts w:ascii="Times New Roman" w:hAnsi="Times New Roman" w:cs="Times New Roman"/>
                <w:b/>
                <w:u w:val="single"/>
              </w:rPr>
            </w:pPr>
            <w:r w:rsidRPr="00351727">
              <w:rPr>
                <w:rFonts w:ascii="Times New Roman" w:hAnsi="Times New Roman" w:cs="Times New Roman"/>
              </w:rPr>
              <w:t>Develop feedback methods from industry and labor that provide for continuous program improvement.</w:t>
            </w:r>
          </w:p>
        </w:tc>
      </w:tr>
      <w:tr w:rsidR="00FF538E" w14:paraId="1636DC25" w14:textId="77777777" w:rsidTr="00053FC2">
        <w:tc>
          <w:tcPr>
            <w:tcW w:w="3016" w:type="dxa"/>
          </w:tcPr>
          <w:p w14:paraId="51BC7830" w14:textId="4D9FBA6A" w:rsidR="00FF538E" w:rsidRPr="00351727" w:rsidRDefault="00D00043" w:rsidP="0035494F">
            <w:pPr>
              <w:rPr>
                <w:color w:val="008000"/>
                <w:sz w:val="20"/>
                <w:szCs w:val="20"/>
              </w:rPr>
            </w:pPr>
            <w:r w:rsidRPr="00351727">
              <w:rPr>
                <w:color w:val="000000" w:themeColor="text1"/>
                <w:sz w:val="20"/>
                <w:szCs w:val="20"/>
              </w:rPr>
              <w:t>Processes for Program Review</w:t>
            </w:r>
          </w:p>
        </w:tc>
        <w:tc>
          <w:tcPr>
            <w:tcW w:w="2675" w:type="dxa"/>
            <w:gridSpan w:val="2"/>
          </w:tcPr>
          <w:p w14:paraId="465BB196" w14:textId="77777777" w:rsidR="00FF538E" w:rsidRPr="00351727" w:rsidRDefault="00FF538E" w:rsidP="0035494F">
            <w:pPr>
              <w:rPr>
                <w:b/>
                <w:u w:val="single"/>
              </w:rPr>
            </w:pPr>
          </w:p>
        </w:tc>
        <w:tc>
          <w:tcPr>
            <w:tcW w:w="2672" w:type="dxa"/>
            <w:gridSpan w:val="2"/>
          </w:tcPr>
          <w:p w14:paraId="46B8B3C3" w14:textId="77777777" w:rsidR="00FF538E" w:rsidRPr="00351727" w:rsidRDefault="00FF538E" w:rsidP="0035494F">
            <w:pPr>
              <w:rPr>
                <w:b/>
                <w:u w:val="single"/>
              </w:rPr>
            </w:pPr>
          </w:p>
        </w:tc>
        <w:tc>
          <w:tcPr>
            <w:tcW w:w="2611" w:type="dxa"/>
            <w:gridSpan w:val="3"/>
          </w:tcPr>
          <w:p w14:paraId="1DC1F4B3" w14:textId="54EA096F" w:rsidR="009054A2" w:rsidRPr="00351727" w:rsidRDefault="009054A2" w:rsidP="009054A2">
            <w:pPr>
              <w:rPr>
                <w:sz w:val="20"/>
                <w:szCs w:val="20"/>
              </w:rPr>
            </w:pPr>
            <w:r w:rsidRPr="00351727">
              <w:rPr>
                <w:sz w:val="20"/>
                <w:szCs w:val="20"/>
              </w:rPr>
              <w:t xml:space="preserve">Regional </w:t>
            </w:r>
            <w:r w:rsidR="00C3674A" w:rsidRPr="00351727">
              <w:rPr>
                <w:sz w:val="20"/>
                <w:szCs w:val="20"/>
              </w:rPr>
              <w:t>Consortia</w:t>
            </w:r>
            <w:r w:rsidRPr="00351727">
              <w:rPr>
                <w:sz w:val="20"/>
                <w:szCs w:val="20"/>
              </w:rPr>
              <w:t>, CCCAOE, Chancellor’s Office</w:t>
            </w:r>
          </w:p>
          <w:p w14:paraId="36D52BBD" w14:textId="77777777" w:rsidR="009054A2" w:rsidRPr="00351727" w:rsidRDefault="009054A2" w:rsidP="0035494F">
            <w:pPr>
              <w:rPr>
                <w:sz w:val="20"/>
                <w:szCs w:val="20"/>
              </w:rPr>
            </w:pPr>
          </w:p>
        </w:tc>
        <w:tc>
          <w:tcPr>
            <w:tcW w:w="2886" w:type="dxa"/>
          </w:tcPr>
          <w:p w14:paraId="2AFBBAB8" w14:textId="0BBBEFEB" w:rsidR="00FF538E" w:rsidRPr="00053FC2" w:rsidRDefault="009054A2" w:rsidP="0035494F">
            <w:pPr>
              <w:rPr>
                <w:b/>
                <w:u w:val="single"/>
              </w:rPr>
            </w:pPr>
            <w:r>
              <w:rPr>
                <w:color w:val="FF0000"/>
                <w:sz w:val="20"/>
                <w:szCs w:val="20"/>
              </w:rPr>
              <w:t>ASCCC Advisory</w:t>
            </w:r>
          </w:p>
        </w:tc>
      </w:tr>
      <w:tr w:rsidR="00FF538E" w14:paraId="3BCE07AE" w14:textId="77777777" w:rsidTr="00414C13">
        <w:tc>
          <w:tcPr>
            <w:tcW w:w="13860" w:type="dxa"/>
            <w:gridSpan w:val="9"/>
          </w:tcPr>
          <w:p w14:paraId="51A82CDD" w14:textId="5DB23241" w:rsidR="00FF538E" w:rsidRPr="00351727" w:rsidRDefault="00FF538E" w:rsidP="001D1FDE">
            <w:pPr>
              <w:pStyle w:val="ListParagraph"/>
              <w:numPr>
                <w:ilvl w:val="0"/>
                <w:numId w:val="29"/>
              </w:numPr>
              <w:ind w:left="702"/>
              <w:rPr>
                <w:rFonts w:ascii="Times New Roman" w:hAnsi="Times New Roman" w:cs="Times New Roman"/>
                <w:b/>
                <w:u w:val="single"/>
              </w:rPr>
            </w:pPr>
            <w:r w:rsidRPr="00351727">
              <w:rPr>
                <w:rFonts w:ascii="Times New Roman" w:hAnsi="Times New Roman" w:cs="Times New Roman"/>
              </w:rPr>
              <w:t>Articulate skill sets embedded within industry-valued credentials across regions.</w:t>
            </w:r>
          </w:p>
        </w:tc>
      </w:tr>
      <w:tr w:rsidR="00FF538E" w14:paraId="2A11C7AF" w14:textId="77777777" w:rsidTr="00053FC2">
        <w:tc>
          <w:tcPr>
            <w:tcW w:w="3016" w:type="dxa"/>
          </w:tcPr>
          <w:p w14:paraId="6A097F8A" w14:textId="03BF4FA0" w:rsidR="00FF538E" w:rsidRPr="00351727" w:rsidRDefault="00D00043" w:rsidP="0035494F">
            <w:pPr>
              <w:rPr>
                <w:color w:val="008000"/>
                <w:sz w:val="20"/>
                <w:szCs w:val="20"/>
              </w:rPr>
            </w:pPr>
            <w:r w:rsidRPr="00351727">
              <w:rPr>
                <w:color w:val="000000" w:themeColor="text1"/>
                <w:sz w:val="20"/>
                <w:szCs w:val="20"/>
              </w:rPr>
              <w:t>Curriculum</w:t>
            </w:r>
          </w:p>
        </w:tc>
        <w:tc>
          <w:tcPr>
            <w:tcW w:w="2675" w:type="dxa"/>
            <w:gridSpan w:val="2"/>
          </w:tcPr>
          <w:p w14:paraId="096ECF77" w14:textId="77777777" w:rsidR="00FF538E" w:rsidRPr="00351727" w:rsidRDefault="00FF538E" w:rsidP="0035494F">
            <w:pPr>
              <w:rPr>
                <w:b/>
                <w:u w:val="single"/>
              </w:rPr>
            </w:pPr>
          </w:p>
        </w:tc>
        <w:tc>
          <w:tcPr>
            <w:tcW w:w="2672" w:type="dxa"/>
            <w:gridSpan w:val="2"/>
          </w:tcPr>
          <w:p w14:paraId="7B19C525" w14:textId="77777777" w:rsidR="00FF538E" w:rsidRPr="00351727" w:rsidRDefault="00FF538E" w:rsidP="0035494F">
            <w:pPr>
              <w:rPr>
                <w:b/>
                <w:u w:val="single"/>
              </w:rPr>
            </w:pPr>
          </w:p>
        </w:tc>
        <w:tc>
          <w:tcPr>
            <w:tcW w:w="2611" w:type="dxa"/>
            <w:gridSpan w:val="3"/>
          </w:tcPr>
          <w:p w14:paraId="34D53D89" w14:textId="7F218ABD" w:rsidR="009054A2" w:rsidRPr="00351727" w:rsidRDefault="009054A2" w:rsidP="009054A2">
            <w:pPr>
              <w:rPr>
                <w:sz w:val="20"/>
                <w:szCs w:val="20"/>
              </w:rPr>
            </w:pPr>
            <w:r w:rsidRPr="00351727">
              <w:rPr>
                <w:sz w:val="20"/>
                <w:szCs w:val="20"/>
              </w:rPr>
              <w:t xml:space="preserve">Regional </w:t>
            </w:r>
            <w:r w:rsidR="00C3674A" w:rsidRPr="00351727">
              <w:rPr>
                <w:sz w:val="20"/>
                <w:szCs w:val="20"/>
              </w:rPr>
              <w:t>Consortia</w:t>
            </w:r>
            <w:r w:rsidRPr="00351727">
              <w:rPr>
                <w:sz w:val="20"/>
                <w:szCs w:val="20"/>
              </w:rPr>
              <w:t>, CCCAOE, Chancellor’s Office</w:t>
            </w:r>
          </w:p>
          <w:p w14:paraId="26AD1022" w14:textId="77777777" w:rsidR="00FF538E" w:rsidRPr="00351727" w:rsidRDefault="00FF538E" w:rsidP="0035494F">
            <w:pPr>
              <w:rPr>
                <w:b/>
                <w:u w:val="single"/>
              </w:rPr>
            </w:pPr>
          </w:p>
        </w:tc>
        <w:tc>
          <w:tcPr>
            <w:tcW w:w="2886" w:type="dxa"/>
          </w:tcPr>
          <w:p w14:paraId="5850AD36" w14:textId="3F7DEE92" w:rsidR="00FF538E" w:rsidRPr="00053FC2" w:rsidRDefault="009054A2" w:rsidP="009054A2">
            <w:pPr>
              <w:rPr>
                <w:b/>
                <w:u w:val="single"/>
              </w:rPr>
            </w:pPr>
            <w:r>
              <w:rPr>
                <w:color w:val="FF0000"/>
                <w:sz w:val="20"/>
                <w:szCs w:val="20"/>
              </w:rPr>
              <w:t xml:space="preserve">ASCCC Lead </w:t>
            </w:r>
          </w:p>
        </w:tc>
      </w:tr>
      <w:tr w:rsidR="00FF538E" w14:paraId="666295C8" w14:textId="77777777" w:rsidTr="00414C13">
        <w:tc>
          <w:tcPr>
            <w:tcW w:w="13860" w:type="dxa"/>
            <w:gridSpan w:val="9"/>
          </w:tcPr>
          <w:p w14:paraId="072660F7" w14:textId="77777777" w:rsidR="00FF538E" w:rsidRPr="00351727" w:rsidRDefault="00FF538E" w:rsidP="001D1FDE">
            <w:pPr>
              <w:pStyle w:val="ListParagraph"/>
              <w:numPr>
                <w:ilvl w:val="0"/>
                <w:numId w:val="29"/>
              </w:numPr>
              <w:ind w:left="702"/>
              <w:rPr>
                <w:rFonts w:ascii="Times New Roman" w:hAnsi="Times New Roman" w:cs="Times New Roman"/>
                <w:b/>
                <w:u w:val="single"/>
              </w:rPr>
            </w:pPr>
            <w:r w:rsidRPr="00351727">
              <w:rPr>
                <w:rFonts w:ascii="Times New Roman" w:hAnsi="Times New Roman" w:cs="Times New Roman"/>
              </w:rPr>
              <w:t>Support college collaborations to leverage multiple state and federal CTE and workforce funding streams to build capacity to meet regional needs and mitigate the risk associated with new program start-up.</w:t>
            </w:r>
          </w:p>
        </w:tc>
      </w:tr>
      <w:tr w:rsidR="00FF538E" w14:paraId="74E639E4" w14:textId="77777777" w:rsidTr="00053FC2">
        <w:tc>
          <w:tcPr>
            <w:tcW w:w="3016" w:type="dxa"/>
          </w:tcPr>
          <w:p w14:paraId="6F190061" w14:textId="77777777" w:rsidR="00FF538E" w:rsidRPr="00351727" w:rsidRDefault="00FF538E" w:rsidP="0035494F">
            <w:pPr>
              <w:rPr>
                <w:b/>
                <w:u w:val="single"/>
              </w:rPr>
            </w:pPr>
          </w:p>
        </w:tc>
        <w:tc>
          <w:tcPr>
            <w:tcW w:w="2675" w:type="dxa"/>
            <w:gridSpan w:val="2"/>
          </w:tcPr>
          <w:p w14:paraId="2D308A91" w14:textId="77777777" w:rsidR="00FF538E" w:rsidRPr="00351727" w:rsidRDefault="00FF538E" w:rsidP="0035494F">
            <w:pPr>
              <w:rPr>
                <w:b/>
                <w:u w:val="single"/>
              </w:rPr>
            </w:pPr>
          </w:p>
        </w:tc>
        <w:tc>
          <w:tcPr>
            <w:tcW w:w="2672" w:type="dxa"/>
            <w:gridSpan w:val="2"/>
          </w:tcPr>
          <w:p w14:paraId="3A40A3EF" w14:textId="77777777" w:rsidR="00FF538E" w:rsidRPr="00351727" w:rsidRDefault="00FF538E" w:rsidP="0035494F">
            <w:pPr>
              <w:rPr>
                <w:b/>
                <w:u w:val="single"/>
              </w:rPr>
            </w:pPr>
          </w:p>
        </w:tc>
        <w:tc>
          <w:tcPr>
            <w:tcW w:w="2611" w:type="dxa"/>
            <w:gridSpan w:val="3"/>
          </w:tcPr>
          <w:p w14:paraId="5CDDD7B2" w14:textId="254F1723" w:rsidR="00FF538E" w:rsidRPr="00351727" w:rsidRDefault="009054A2" w:rsidP="0035494F">
            <w:pPr>
              <w:rPr>
                <w:sz w:val="20"/>
                <w:szCs w:val="20"/>
              </w:rPr>
            </w:pPr>
            <w:r w:rsidRPr="00351727">
              <w:rPr>
                <w:sz w:val="20"/>
                <w:szCs w:val="20"/>
              </w:rPr>
              <w:t xml:space="preserve">Regional </w:t>
            </w:r>
            <w:r w:rsidR="00C3674A" w:rsidRPr="00351727">
              <w:rPr>
                <w:sz w:val="20"/>
                <w:szCs w:val="20"/>
              </w:rPr>
              <w:t>Consortia</w:t>
            </w:r>
            <w:r w:rsidRPr="00351727">
              <w:rPr>
                <w:sz w:val="20"/>
                <w:szCs w:val="20"/>
              </w:rPr>
              <w:t>, CCCAOE, Chancellor’s Office</w:t>
            </w:r>
          </w:p>
        </w:tc>
        <w:tc>
          <w:tcPr>
            <w:tcW w:w="2886" w:type="dxa"/>
          </w:tcPr>
          <w:p w14:paraId="45A8B9A1" w14:textId="4D06E557" w:rsidR="00FF538E" w:rsidRPr="00351727" w:rsidRDefault="009054A2" w:rsidP="0035494F">
            <w:pPr>
              <w:rPr>
                <w:b/>
                <w:u w:val="single"/>
              </w:rPr>
            </w:pPr>
            <w:r w:rsidRPr="00351727">
              <w:rPr>
                <w:color w:val="FF0000"/>
                <w:sz w:val="20"/>
                <w:szCs w:val="20"/>
              </w:rPr>
              <w:t>ASCCC Advisory</w:t>
            </w:r>
          </w:p>
        </w:tc>
      </w:tr>
      <w:tr w:rsidR="00FF538E" w14:paraId="3FF50C7C" w14:textId="77777777" w:rsidTr="003863F4">
        <w:trPr>
          <w:trHeight w:val="539"/>
        </w:trPr>
        <w:tc>
          <w:tcPr>
            <w:tcW w:w="13860" w:type="dxa"/>
            <w:gridSpan w:val="9"/>
          </w:tcPr>
          <w:p w14:paraId="3F47C8F4" w14:textId="77777777" w:rsidR="00FF538E" w:rsidRPr="00351727" w:rsidRDefault="00FF538E" w:rsidP="001D1FDE">
            <w:pPr>
              <w:pStyle w:val="ListParagraph"/>
              <w:numPr>
                <w:ilvl w:val="0"/>
                <w:numId w:val="29"/>
              </w:numPr>
              <w:ind w:left="612"/>
              <w:rPr>
                <w:rFonts w:ascii="Times New Roman" w:hAnsi="Times New Roman" w:cs="Times New Roman"/>
                <w:b/>
                <w:u w:val="single"/>
              </w:rPr>
            </w:pPr>
            <w:r w:rsidRPr="00351727">
              <w:rPr>
                <w:rFonts w:ascii="Times New Roman" w:hAnsi="Times New Roman" w:cs="Times New Roman"/>
              </w:rPr>
              <w:t>Coordinate alignment among community college CTE efforts and implementation of the regional framework developed under the federal Workforce Innovation and Opportunity Act and the adult education consortia.</w:t>
            </w:r>
          </w:p>
        </w:tc>
      </w:tr>
      <w:tr w:rsidR="00FF538E" w14:paraId="3130BA0D" w14:textId="77777777" w:rsidTr="00053FC2">
        <w:tc>
          <w:tcPr>
            <w:tcW w:w="3016" w:type="dxa"/>
          </w:tcPr>
          <w:p w14:paraId="36ECD4B4" w14:textId="77777777" w:rsidR="00FF538E" w:rsidRPr="00351727" w:rsidRDefault="00FF538E" w:rsidP="0035494F">
            <w:pPr>
              <w:rPr>
                <w:b/>
                <w:u w:val="single"/>
              </w:rPr>
            </w:pPr>
          </w:p>
        </w:tc>
        <w:tc>
          <w:tcPr>
            <w:tcW w:w="2675" w:type="dxa"/>
            <w:gridSpan w:val="2"/>
          </w:tcPr>
          <w:p w14:paraId="36A8C732" w14:textId="77777777" w:rsidR="00FF538E" w:rsidRPr="00351727" w:rsidRDefault="00FF538E" w:rsidP="0035494F">
            <w:pPr>
              <w:rPr>
                <w:b/>
                <w:u w:val="single"/>
              </w:rPr>
            </w:pPr>
          </w:p>
        </w:tc>
        <w:tc>
          <w:tcPr>
            <w:tcW w:w="2672" w:type="dxa"/>
            <w:gridSpan w:val="2"/>
          </w:tcPr>
          <w:p w14:paraId="03EE9FC9" w14:textId="77777777" w:rsidR="00FF538E" w:rsidRPr="00351727" w:rsidRDefault="00FF538E" w:rsidP="0035494F">
            <w:pPr>
              <w:rPr>
                <w:b/>
                <w:u w:val="single"/>
              </w:rPr>
            </w:pPr>
          </w:p>
        </w:tc>
        <w:tc>
          <w:tcPr>
            <w:tcW w:w="2611" w:type="dxa"/>
            <w:gridSpan w:val="3"/>
          </w:tcPr>
          <w:p w14:paraId="74749498" w14:textId="76E610F0" w:rsidR="009054A2" w:rsidRPr="003863F4" w:rsidRDefault="009054A2" w:rsidP="0035494F">
            <w:pPr>
              <w:rPr>
                <w:sz w:val="20"/>
                <w:szCs w:val="20"/>
              </w:rPr>
            </w:pPr>
            <w:r w:rsidRPr="00351727">
              <w:rPr>
                <w:sz w:val="20"/>
                <w:szCs w:val="20"/>
              </w:rPr>
              <w:t xml:space="preserve">Regional </w:t>
            </w:r>
            <w:r w:rsidR="00C3674A" w:rsidRPr="00351727">
              <w:rPr>
                <w:sz w:val="20"/>
                <w:szCs w:val="20"/>
              </w:rPr>
              <w:t>Consortia</w:t>
            </w:r>
            <w:r w:rsidRPr="00351727">
              <w:rPr>
                <w:sz w:val="20"/>
                <w:szCs w:val="20"/>
              </w:rPr>
              <w:t>, CCCAOE, Chancellor’s Office</w:t>
            </w:r>
          </w:p>
        </w:tc>
        <w:tc>
          <w:tcPr>
            <w:tcW w:w="2886" w:type="dxa"/>
          </w:tcPr>
          <w:p w14:paraId="37757C5D" w14:textId="3A55D68F" w:rsidR="00FF538E" w:rsidRPr="00351727" w:rsidRDefault="009054A2" w:rsidP="0035494F">
            <w:pPr>
              <w:rPr>
                <w:b/>
                <w:u w:val="single"/>
              </w:rPr>
            </w:pPr>
            <w:r w:rsidRPr="00351727">
              <w:rPr>
                <w:color w:val="FF0000"/>
                <w:sz w:val="20"/>
                <w:szCs w:val="20"/>
              </w:rPr>
              <w:t>ASCCC Advisory</w:t>
            </w:r>
          </w:p>
        </w:tc>
      </w:tr>
      <w:tr w:rsidR="00FF538E" w14:paraId="000B2FBD" w14:textId="77777777" w:rsidTr="00414C13">
        <w:tc>
          <w:tcPr>
            <w:tcW w:w="13860" w:type="dxa"/>
            <w:gridSpan w:val="9"/>
          </w:tcPr>
          <w:p w14:paraId="355E5C64" w14:textId="77777777" w:rsidR="00FF538E" w:rsidRPr="00351727" w:rsidRDefault="00FF538E" w:rsidP="008F4CDA">
            <w:pPr>
              <w:pStyle w:val="ListParagraph"/>
              <w:numPr>
                <w:ilvl w:val="0"/>
                <w:numId w:val="3"/>
              </w:numPr>
              <w:rPr>
                <w:rFonts w:ascii="Times New Roman" w:hAnsi="Times New Roman" w:cs="Times New Roman"/>
                <w:b/>
                <w:u w:val="single"/>
              </w:rPr>
            </w:pPr>
            <w:r w:rsidRPr="00351727">
              <w:rPr>
                <w:rFonts w:ascii="Times New Roman" w:hAnsi="Times New Roman" w:cs="Times New Roman"/>
                <w:b/>
              </w:rPr>
              <w:t>Develop robust connections between community colleges, business and industry representatives, labor and other regional workforce development partners to align college programs with regional and industry needs and provide support for CTE programs.</w:t>
            </w:r>
          </w:p>
        </w:tc>
      </w:tr>
      <w:tr w:rsidR="00FF538E" w14:paraId="6BF07E88" w14:textId="77777777" w:rsidTr="009054A2">
        <w:trPr>
          <w:trHeight w:val="926"/>
        </w:trPr>
        <w:tc>
          <w:tcPr>
            <w:tcW w:w="13860" w:type="dxa"/>
            <w:gridSpan w:val="9"/>
          </w:tcPr>
          <w:p w14:paraId="48331D1B" w14:textId="77777777" w:rsidR="00FF538E" w:rsidRPr="00351727" w:rsidRDefault="00FF538E" w:rsidP="004666CC">
            <w:pPr>
              <w:pStyle w:val="ListParagraph"/>
              <w:numPr>
                <w:ilvl w:val="0"/>
                <w:numId w:val="30"/>
              </w:numPr>
              <w:ind w:left="612"/>
              <w:rPr>
                <w:rFonts w:ascii="Times New Roman" w:hAnsi="Times New Roman" w:cs="Times New Roman"/>
                <w:b/>
                <w:u w:val="single"/>
              </w:rPr>
            </w:pPr>
            <w:r w:rsidRPr="00351727">
              <w:rPr>
                <w:rFonts w:ascii="Times New Roman" w:hAnsi="Times New Roman" w:cs="Times New Roman"/>
              </w:rPr>
              <w:t>Align college programs with regional and industry needs by leveraging 24 multiple labor market information sources, including California Community College Centers of Excellence, Deputy Sector Navigators, industry associations, state agencies, economic development entities, and workforce boards.</w:t>
            </w:r>
          </w:p>
        </w:tc>
      </w:tr>
      <w:tr w:rsidR="00FF538E" w14:paraId="3A55682D" w14:textId="77777777" w:rsidTr="00053FC2">
        <w:tc>
          <w:tcPr>
            <w:tcW w:w="3016" w:type="dxa"/>
          </w:tcPr>
          <w:p w14:paraId="559824B3" w14:textId="77777777" w:rsidR="00FF538E" w:rsidRPr="004A7E6A" w:rsidRDefault="008A6856" w:rsidP="004666CC">
            <w:pPr>
              <w:rPr>
                <w:color w:val="000000" w:themeColor="text1"/>
                <w:sz w:val="20"/>
                <w:szCs w:val="20"/>
              </w:rPr>
            </w:pPr>
            <w:r w:rsidRPr="004A7E6A">
              <w:rPr>
                <w:color w:val="000000" w:themeColor="text1"/>
                <w:sz w:val="20"/>
                <w:szCs w:val="20"/>
              </w:rPr>
              <w:t>Educational program development</w:t>
            </w:r>
          </w:p>
          <w:p w14:paraId="48C4D5FF" w14:textId="77777777" w:rsidR="008A6856" w:rsidRPr="004A7E6A" w:rsidRDefault="008A6856" w:rsidP="004666CC">
            <w:pPr>
              <w:rPr>
                <w:color w:val="000000" w:themeColor="text1"/>
                <w:sz w:val="20"/>
                <w:szCs w:val="20"/>
              </w:rPr>
            </w:pPr>
          </w:p>
          <w:p w14:paraId="04331A33" w14:textId="425271DA" w:rsidR="008A6856" w:rsidRPr="008A6856" w:rsidRDefault="008A6856" w:rsidP="004666CC">
            <w:pPr>
              <w:rPr>
                <w:b/>
                <w:color w:val="008000"/>
                <w:u w:val="single"/>
              </w:rPr>
            </w:pPr>
            <w:r w:rsidRPr="004A7E6A">
              <w:rPr>
                <w:color w:val="000000" w:themeColor="text1"/>
                <w:sz w:val="20"/>
                <w:szCs w:val="20"/>
              </w:rPr>
              <w:t>Processes for Program Review</w:t>
            </w:r>
          </w:p>
        </w:tc>
        <w:tc>
          <w:tcPr>
            <w:tcW w:w="2675" w:type="dxa"/>
            <w:gridSpan w:val="2"/>
          </w:tcPr>
          <w:p w14:paraId="3780D47E" w14:textId="77777777" w:rsidR="00FF538E" w:rsidRPr="00053FC2" w:rsidRDefault="00FF538E" w:rsidP="004666CC">
            <w:pPr>
              <w:rPr>
                <w:b/>
                <w:u w:val="single"/>
              </w:rPr>
            </w:pPr>
          </w:p>
        </w:tc>
        <w:tc>
          <w:tcPr>
            <w:tcW w:w="2672" w:type="dxa"/>
            <w:gridSpan w:val="2"/>
          </w:tcPr>
          <w:p w14:paraId="6464C7ED" w14:textId="77777777" w:rsidR="00FF538E" w:rsidRPr="00053FC2" w:rsidRDefault="00FF538E" w:rsidP="004666CC">
            <w:pPr>
              <w:rPr>
                <w:b/>
                <w:u w:val="single"/>
              </w:rPr>
            </w:pPr>
          </w:p>
        </w:tc>
        <w:tc>
          <w:tcPr>
            <w:tcW w:w="2611" w:type="dxa"/>
            <w:gridSpan w:val="3"/>
          </w:tcPr>
          <w:p w14:paraId="0956CD5B" w14:textId="641F0337" w:rsidR="004A7E6A" w:rsidRPr="004A7E6A" w:rsidRDefault="009054A2" w:rsidP="004666CC">
            <w:pPr>
              <w:rPr>
                <w:sz w:val="20"/>
                <w:szCs w:val="20"/>
              </w:rPr>
            </w:pPr>
            <w:r>
              <w:rPr>
                <w:sz w:val="20"/>
                <w:szCs w:val="20"/>
              </w:rPr>
              <w:t xml:space="preserve">Regional </w:t>
            </w:r>
            <w:r w:rsidR="00C3674A">
              <w:rPr>
                <w:sz w:val="20"/>
                <w:szCs w:val="20"/>
              </w:rPr>
              <w:t>Consortia</w:t>
            </w:r>
            <w:r>
              <w:rPr>
                <w:sz w:val="20"/>
                <w:szCs w:val="20"/>
              </w:rPr>
              <w:t>, CCCAOE, Chancellor’s Office</w:t>
            </w:r>
          </w:p>
        </w:tc>
        <w:tc>
          <w:tcPr>
            <w:tcW w:w="2886" w:type="dxa"/>
          </w:tcPr>
          <w:p w14:paraId="6210D201" w14:textId="30BF5901" w:rsidR="00FF538E" w:rsidRPr="00053FC2" w:rsidRDefault="009054A2" w:rsidP="004666CC">
            <w:pPr>
              <w:rPr>
                <w:b/>
                <w:u w:val="single"/>
              </w:rPr>
            </w:pPr>
            <w:r>
              <w:rPr>
                <w:color w:val="FF0000"/>
                <w:sz w:val="20"/>
                <w:szCs w:val="20"/>
              </w:rPr>
              <w:t>ASCCC Advisory</w:t>
            </w:r>
          </w:p>
        </w:tc>
      </w:tr>
      <w:tr w:rsidR="00FF538E" w14:paraId="4965A7F8" w14:textId="77777777" w:rsidTr="00414C13">
        <w:tc>
          <w:tcPr>
            <w:tcW w:w="13860" w:type="dxa"/>
            <w:gridSpan w:val="9"/>
          </w:tcPr>
          <w:p w14:paraId="798A4AD4" w14:textId="77777777" w:rsidR="00FF538E" w:rsidRPr="00351727" w:rsidRDefault="00FF538E" w:rsidP="004666CC">
            <w:pPr>
              <w:pStyle w:val="ListParagraph"/>
              <w:numPr>
                <w:ilvl w:val="0"/>
                <w:numId w:val="30"/>
              </w:numPr>
              <w:ind w:left="522"/>
              <w:rPr>
                <w:rFonts w:ascii="Times New Roman" w:hAnsi="Times New Roman" w:cs="Times New Roman"/>
                <w:b/>
                <w:u w:val="single"/>
              </w:rPr>
            </w:pPr>
            <w:r w:rsidRPr="00351727">
              <w:rPr>
                <w:rFonts w:ascii="Times New Roman" w:hAnsi="Times New Roman" w:cs="Times New Roman"/>
              </w:rPr>
              <w:t>Provide support for CTE programs including internships, guest lecturers, employment, equipment and facilities support, and participation on advisory boards.</w:t>
            </w:r>
          </w:p>
        </w:tc>
      </w:tr>
      <w:tr w:rsidR="00FF538E" w14:paraId="05EBA13E" w14:textId="77777777" w:rsidTr="00053FC2">
        <w:tc>
          <w:tcPr>
            <w:tcW w:w="3016" w:type="dxa"/>
          </w:tcPr>
          <w:p w14:paraId="5BE99FCC" w14:textId="77777777" w:rsidR="00FF538E" w:rsidRPr="00351727" w:rsidRDefault="00FF538E" w:rsidP="004666CC">
            <w:pPr>
              <w:rPr>
                <w:b/>
                <w:u w:val="single"/>
              </w:rPr>
            </w:pPr>
          </w:p>
        </w:tc>
        <w:tc>
          <w:tcPr>
            <w:tcW w:w="2675" w:type="dxa"/>
            <w:gridSpan w:val="2"/>
          </w:tcPr>
          <w:p w14:paraId="2CA4329F" w14:textId="77777777" w:rsidR="00FF538E" w:rsidRPr="00351727" w:rsidRDefault="00FF538E" w:rsidP="004666CC">
            <w:pPr>
              <w:rPr>
                <w:b/>
                <w:u w:val="single"/>
              </w:rPr>
            </w:pPr>
          </w:p>
        </w:tc>
        <w:tc>
          <w:tcPr>
            <w:tcW w:w="2672" w:type="dxa"/>
            <w:gridSpan w:val="2"/>
          </w:tcPr>
          <w:p w14:paraId="3236CB9D" w14:textId="77777777" w:rsidR="00FF538E" w:rsidRPr="00351727" w:rsidRDefault="00FF538E" w:rsidP="004666CC">
            <w:pPr>
              <w:rPr>
                <w:b/>
                <w:u w:val="single"/>
              </w:rPr>
            </w:pPr>
          </w:p>
        </w:tc>
        <w:tc>
          <w:tcPr>
            <w:tcW w:w="2611" w:type="dxa"/>
            <w:gridSpan w:val="3"/>
          </w:tcPr>
          <w:p w14:paraId="7B2E154E" w14:textId="548D6068" w:rsidR="00FF538E" w:rsidRPr="003863F4" w:rsidRDefault="009054A2" w:rsidP="004666CC">
            <w:pPr>
              <w:rPr>
                <w:sz w:val="20"/>
                <w:szCs w:val="20"/>
              </w:rPr>
            </w:pPr>
            <w:r w:rsidRPr="00351727">
              <w:rPr>
                <w:sz w:val="20"/>
                <w:szCs w:val="20"/>
              </w:rPr>
              <w:t xml:space="preserve">Regional </w:t>
            </w:r>
            <w:r w:rsidR="00C3674A" w:rsidRPr="00351727">
              <w:rPr>
                <w:sz w:val="20"/>
                <w:szCs w:val="20"/>
              </w:rPr>
              <w:t>Consortia</w:t>
            </w:r>
            <w:r w:rsidRPr="00351727">
              <w:rPr>
                <w:sz w:val="20"/>
                <w:szCs w:val="20"/>
              </w:rPr>
              <w:t>, CCCAOE, Chancellor’s Office</w:t>
            </w:r>
          </w:p>
        </w:tc>
        <w:tc>
          <w:tcPr>
            <w:tcW w:w="2886" w:type="dxa"/>
          </w:tcPr>
          <w:p w14:paraId="31F45848" w14:textId="1FA23281" w:rsidR="00FF538E" w:rsidRPr="00351727" w:rsidRDefault="009054A2" w:rsidP="004666CC">
            <w:pPr>
              <w:rPr>
                <w:b/>
                <w:u w:val="single"/>
              </w:rPr>
            </w:pPr>
            <w:r w:rsidRPr="00351727">
              <w:rPr>
                <w:color w:val="FF0000"/>
                <w:sz w:val="20"/>
                <w:szCs w:val="20"/>
              </w:rPr>
              <w:t>ASCCC Advisory</w:t>
            </w:r>
          </w:p>
        </w:tc>
      </w:tr>
      <w:tr w:rsidR="00FF538E" w14:paraId="737F3F6F" w14:textId="77777777" w:rsidTr="00414C13">
        <w:tc>
          <w:tcPr>
            <w:tcW w:w="13860" w:type="dxa"/>
            <w:gridSpan w:val="9"/>
          </w:tcPr>
          <w:p w14:paraId="3B958E42" w14:textId="77777777" w:rsidR="00FF538E" w:rsidRPr="00351727" w:rsidRDefault="00FF538E" w:rsidP="004666CC">
            <w:pPr>
              <w:pStyle w:val="ListParagraph"/>
              <w:numPr>
                <w:ilvl w:val="0"/>
                <w:numId w:val="3"/>
              </w:numPr>
              <w:rPr>
                <w:rFonts w:ascii="Times New Roman" w:hAnsi="Times New Roman" w:cs="Times New Roman"/>
                <w:b/>
              </w:rPr>
            </w:pPr>
            <w:r w:rsidRPr="00351727">
              <w:rPr>
                <w:rFonts w:ascii="Times New Roman" w:hAnsi="Times New Roman" w:cs="Times New Roman"/>
                <w:b/>
              </w:rPr>
              <w:t xml:space="preserve">Create a sustained, public outreach campaign to industry, high school students, counselors, parents, faculty, staff, and the community at large to promote career development and attainment and the value of career technical education. </w:t>
            </w:r>
          </w:p>
        </w:tc>
      </w:tr>
      <w:tr w:rsidR="00FF538E" w14:paraId="37BC266C" w14:textId="77777777" w:rsidTr="00053FC2">
        <w:tc>
          <w:tcPr>
            <w:tcW w:w="3016" w:type="dxa"/>
          </w:tcPr>
          <w:p w14:paraId="73B16DC5" w14:textId="77777777" w:rsidR="00FF538E" w:rsidRPr="00053FC2" w:rsidRDefault="00FF538E" w:rsidP="004666CC">
            <w:pPr>
              <w:rPr>
                <w:b/>
                <w:u w:val="single"/>
              </w:rPr>
            </w:pPr>
          </w:p>
        </w:tc>
        <w:tc>
          <w:tcPr>
            <w:tcW w:w="2675" w:type="dxa"/>
            <w:gridSpan w:val="2"/>
          </w:tcPr>
          <w:p w14:paraId="78CD26DC" w14:textId="77777777" w:rsidR="00FF538E" w:rsidRPr="00053FC2" w:rsidRDefault="00FF538E" w:rsidP="004666CC">
            <w:pPr>
              <w:rPr>
                <w:b/>
                <w:u w:val="single"/>
              </w:rPr>
            </w:pPr>
          </w:p>
        </w:tc>
        <w:tc>
          <w:tcPr>
            <w:tcW w:w="2672" w:type="dxa"/>
            <w:gridSpan w:val="2"/>
          </w:tcPr>
          <w:p w14:paraId="7158AF58" w14:textId="77777777" w:rsidR="00FF538E" w:rsidRPr="00053FC2" w:rsidRDefault="00FF538E" w:rsidP="004666CC">
            <w:pPr>
              <w:rPr>
                <w:b/>
                <w:u w:val="single"/>
              </w:rPr>
            </w:pPr>
          </w:p>
        </w:tc>
        <w:tc>
          <w:tcPr>
            <w:tcW w:w="2611" w:type="dxa"/>
            <w:gridSpan w:val="3"/>
          </w:tcPr>
          <w:p w14:paraId="724BB2AF" w14:textId="0CD3862B" w:rsidR="00FF538E" w:rsidRPr="009054A2" w:rsidRDefault="009054A2" w:rsidP="004666CC">
            <w:pPr>
              <w:rPr>
                <w:sz w:val="20"/>
                <w:szCs w:val="20"/>
              </w:rPr>
            </w:pPr>
            <w:r>
              <w:rPr>
                <w:sz w:val="20"/>
                <w:szCs w:val="20"/>
              </w:rPr>
              <w:t>Chancellor’s Offi</w:t>
            </w:r>
            <w:r w:rsidR="003863F4">
              <w:rPr>
                <w:sz w:val="20"/>
                <w:szCs w:val="20"/>
              </w:rPr>
              <w:t>c</w:t>
            </w:r>
            <w:r>
              <w:rPr>
                <w:sz w:val="20"/>
                <w:szCs w:val="20"/>
              </w:rPr>
              <w:t xml:space="preserve">e </w:t>
            </w:r>
          </w:p>
        </w:tc>
        <w:tc>
          <w:tcPr>
            <w:tcW w:w="2886" w:type="dxa"/>
          </w:tcPr>
          <w:p w14:paraId="5D12DD2E" w14:textId="2C783078" w:rsidR="00FF538E" w:rsidRPr="00053FC2" w:rsidRDefault="009054A2" w:rsidP="004666CC">
            <w:pPr>
              <w:rPr>
                <w:b/>
                <w:u w:val="single"/>
              </w:rPr>
            </w:pPr>
            <w:r>
              <w:rPr>
                <w:color w:val="FF0000"/>
                <w:sz w:val="20"/>
                <w:szCs w:val="20"/>
              </w:rPr>
              <w:t>ASCCC Advisory</w:t>
            </w:r>
          </w:p>
        </w:tc>
      </w:tr>
      <w:tr w:rsidR="00FF538E" w14:paraId="468EFE89" w14:textId="77777777" w:rsidTr="001D1FDE">
        <w:tc>
          <w:tcPr>
            <w:tcW w:w="13860" w:type="dxa"/>
            <w:gridSpan w:val="9"/>
            <w:shd w:val="clear" w:color="auto" w:fill="BFBFBF" w:themeFill="background1" w:themeFillShade="BF"/>
          </w:tcPr>
          <w:p w14:paraId="481AC89D" w14:textId="77777777" w:rsidR="00FF538E" w:rsidRPr="00053FC2" w:rsidRDefault="00FF538E" w:rsidP="004666CC">
            <w:pPr>
              <w:jc w:val="center"/>
              <w:rPr>
                <w:b/>
                <w:u w:val="single"/>
              </w:rPr>
            </w:pPr>
            <w:r w:rsidRPr="008F4CDA">
              <w:rPr>
                <w:b/>
              </w:rPr>
              <w:t>FUNDING</w:t>
            </w:r>
          </w:p>
        </w:tc>
      </w:tr>
      <w:tr w:rsidR="00FF538E" w14:paraId="62DACFD6" w14:textId="77777777" w:rsidTr="00414C13">
        <w:tc>
          <w:tcPr>
            <w:tcW w:w="13860" w:type="dxa"/>
            <w:gridSpan w:val="9"/>
          </w:tcPr>
          <w:p w14:paraId="76C79CE4" w14:textId="77777777" w:rsidR="00FF538E" w:rsidRPr="00351727" w:rsidRDefault="00FF538E" w:rsidP="004666CC">
            <w:pPr>
              <w:pStyle w:val="ListParagraph"/>
              <w:numPr>
                <w:ilvl w:val="0"/>
                <w:numId w:val="3"/>
              </w:numPr>
              <w:rPr>
                <w:rFonts w:ascii="Times New Roman" w:hAnsi="Times New Roman" w:cs="Times New Roman"/>
                <w:b/>
              </w:rPr>
            </w:pPr>
            <w:r w:rsidRPr="00351727">
              <w:rPr>
                <w:rFonts w:ascii="Times New Roman" w:hAnsi="Times New Roman" w:cs="Times New Roman"/>
                <w:b/>
              </w:rPr>
              <w:t xml:space="preserve">Establish a sustained, funding source to increase community colleges’ capacity to create, adapt, and maintain quality CTE courses and programs that are responsive to regional labor market needs. </w:t>
            </w:r>
          </w:p>
        </w:tc>
      </w:tr>
      <w:tr w:rsidR="00FF538E" w14:paraId="40FB7486" w14:textId="77777777" w:rsidTr="001A2E05">
        <w:trPr>
          <w:trHeight w:val="296"/>
        </w:trPr>
        <w:tc>
          <w:tcPr>
            <w:tcW w:w="13860" w:type="dxa"/>
            <w:gridSpan w:val="9"/>
          </w:tcPr>
          <w:p w14:paraId="7F642C11" w14:textId="77777777" w:rsidR="00FF538E" w:rsidRPr="00351727" w:rsidRDefault="00FF538E" w:rsidP="004666CC">
            <w:pPr>
              <w:pStyle w:val="ListParagraph"/>
              <w:numPr>
                <w:ilvl w:val="0"/>
                <w:numId w:val="31"/>
              </w:numPr>
              <w:ind w:left="702"/>
              <w:rPr>
                <w:rFonts w:ascii="Times New Roman" w:hAnsi="Times New Roman" w:cs="Times New Roman"/>
                <w:b/>
                <w:u w:val="single"/>
              </w:rPr>
            </w:pPr>
            <w:r w:rsidRPr="00351727">
              <w:rPr>
                <w:rFonts w:ascii="Times New Roman" w:hAnsi="Times New Roman" w:cs="Times New Roman"/>
              </w:rPr>
              <w:t>Target funding to offset the high cost of CTE programs and other courses that lead to CTE programs.</w:t>
            </w:r>
          </w:p>
        </w:tc>
      </w:tr>
      <w:tr w:rsidR="001A2E05" w14:paraId="31E8C69A" w14:textId="77777777" w:rsidTr="00053FC2">
        <w:tc>
          <w:tcPr>
            <w:tcW w:w="3016" w:type="dxa"/>
          </w:tcPr>
          <w:p w14:paraId="09B20556" w14:textId="77777777" w:rsidR="001A2E05" w:rsidRPr="00351727" w:rsidRDefault="001A2E05" w:rsidP="004666CC">
            <w:pPr>
              <w:rPr>
                <w:b/>
                <w:u w:val="single"/>
              </w:rPr>
            </w:pPr>
          </w:p>
        </w:tc>
        <w:tc>
          <w:tcPr>
            <w:tcW w:w="2675" w:type="dxa"/>
            <w:gridSpan w:val="2"/>
          </w:tcPr>
          <w:p w14:paraId="0D8360C1" w14:textId="77777777" w:rsidR="001A2E05" w:rsidRPr="00351727" w:rsidRDefault="001A2E05" w:rsidP="004666CC">
            <w:pPr>
              <w:rPr>
                <w:b/>
                <w:u w:val="single"/>
              </w:rPr>
            </w:pPr>
          </w:p>
        </w:tc>
        <w:tc>
          <w:tcPr>
            <w:tcW w:w="2672" w:type="dxa"/>
            <w:gridSpan w:val="2"/>
          </w:tcPr>
          <w:p w14:paraId="04237B8C" w14:textId="77777777" w:rsidR="001A2E05" w:rsidRPr="00351727" w:rsidRDefault="001A2E05" w:rsidP="004666CC">
            <w:pPr>
              <w:rPr>
                <w:b/>
                <w:u w:val="single"/>
              </w:rPr>
            </w:pPr>
          </w:p>
        </w:tc>
        <w:tc>
          <w:tcPr>
            <w:tcW w:w="2611" w:type="dxa"/>
            <w:gridSpan w:val="3"/>
          </w:tcPr>
          <w:p w14:paraId="60475C82" w14:textId="29CED340" w:rsidR="001A2E05" w:rsidRPr="00351727" w:rsidRDefault="001A2E05" w:rsidP="004666CC">
            <w:pPr>
              <w:rPr>
                <w:b/>
                <w:u w:val="single"/>
              </w:rPr>
            </w:pPr>
            <w:r w:rsidRPr="00351727">
              <w:rPr>
                <w:sz w:val="20"/>
                <w:szCs w:val="20"/>
              </w:rPr>
              <w:t>Chancellor’s Offi</w:t>
            </w:r>
            <w:r w:rsidR="003863F4">
              <w:rPr>
                <w:sz w:val="20"/>
                <w:szCs w:val="20"/>
              </w:rPr>
              <w:t>c</w:t>
            </w:r>
            <w:r w:rsidRPr="00351727">
              <w:rPr>
                <w:sz w:val="20"/>
                <w:szCs w:val="20"/>
              </w:rPr>
              <w:t xml:space="preserve">e </w:t>
            </w:r>
          </w:p>
        </w:tc>
        <w:tc>
          <w:tcPr>
            <w:tcW w:w="2886" w:type="dxa"/>
          </w:tcPr>
          <w:p w14:paraId="2CB4DF57" w14:textId="17242EEF" w:rsidR="001A2E05" w:rsidRPr="00351727" w:rsidRDefault="001A2E05" w:rsidP="004666CC">
            <w:pPr>
              <w:rPr>
                <w:b/>
                <w:u w:val="single"/>
              </w:rPr>
            </w:pPr>
            <w:r w:rsidRPr="00351727">
              <w:rPr>
                <w:color w:val="FF0000"/>
                <w:sz w:val="20"/>
                <w:szCs w:val="20"/>
              </w:rPr>
              <w:t>ASCCC Advisory</w:t>
            </w:r>
          </w:p>
        </w:tc>
      </w:tr>
      <w:tr w:rsidR="001A2E05" w14:paraId="0DFBDADA" w14:textId="77777777" w:rsidTr="00414C13">
        <w:tc>
          <w:tcPr>
            <w:tcW w:w="13860" w:type="dxa"/>
            <w:gridSpan w:val="9"/>
          </w:tcPr>
          <w:p w14:paraId="4A17CC0D" w14:textId="77777777" w:rsidR="001A2E05" w:rsidRPr="00351727" w:rsidRDefault="001A2E05" w:rsidP="004666CC">
            <w:pPr>
              <w:pStyle w:val="ListParagraph"/>
              <w:numPr>
                <w:ilvl w:val="0"/>
                <w:numId w:val="31"/>
              </w:numPr>
              <w:ind w:left="702"/>
              <w:rPr>
                <w:rFonts w:ascii="Times New Roman" w:hAnsi="Times New Roman" w:cs="Times New Roman"/>
                <w:b/>
                <w:u w:val="single"/>
              </w:rPr>
            </w:pPr>
            <w:r w:rsidRPr="00351727">
              <w:rPr>
                <w:rFonts w:ascii="Times New Roman" w:hAnsi="Times New Roman" w:cs="Times New Roman"/>
              </w:rPr>
              <w:t>Provide additional fiscal incentives to support high-value outcomes and continuously evaluate the results to determine effectiveness.</w:t>
            </w:r>
          </w:p>
        </w:tc>
      </w:tr>
      <w:tr w:rsidR="001A2E05" w14:paraId="4D5C620B" w14:textId="77777777" w:rsidTr="00053FC2">
        <w:tc>
          <w:tcPr>
            <w:tcW w:w="3016" w:type="dxa"/>
          </w:tcPr>
          <w:p w14:paraId="1207A5A7" w14:textId="77777777" w:rsidR="001A2E05" w:rsidRPr="00351727" w:rsidRDefault="001A2E05" w:rsidP="004666CC">
            <w:pPr>
              <w:rPr>
                <w:b/>
                <w:u w:val="single"/>
              </w:rPr>
            </w:pPr>
          </w:p>
        </w:tc>
        <w:tc>
          <w:tcPr>
            <w:tcW w:w="2675" w:type="dxa"/>
            <w:gridSpan w:val="2"/>
          </w:tcPr>
          <w:p w14:paraId="4A6AC3F2" w14:textId="77777777" w:rsidR="001A2E05" w:rsidRPr="00351727" w:rsidRDefault="001A2E05" w:rsidP="004666CC">
            <w:pPr>
              <w:rPr>
                <w:b/>
                <w:u w:val="single"/>
              </w:rPr>
            </w:pPr>
          </w:p>
        </w:tc>
        <w:tc>
          <w:tcPr>
            <w:tcW w:w="2672" w:type="dxa"/>
            <w:gridSpan w:val="2"/>
          </w:tcPr>
          <w:p w14:paraId="7CEBF14E" w14:textId="77777777" w:rsidR="001A2E05" w:rsidRPr="00351727" w:rsidRDefault="001A2E05" w:rsidP="004666CC">
            <w:pPr>
              <w:rPr>
                <w:b/>
                <w:u w:val="single"/>
              </w:rPr>
            </w:pPr>
          </w:p>
        </w:tc>
        <w:tc>
          <w:tcPr>
            <w:tcW w:w="2611" w:type="dxa"/>
            <w:gridSpan w:val="3"/>
          </w:tcPr>
          <w:p w14:paraId="029527BD" w14:textId="7E8B0E7C" w:rsidR="001A2E05" w:rsidRPr="00351727" w:rsidRDefault="001A2E05" w:rsidP="004666CC">
            <w:pPr>
              <w:rPr>
                <w:b/>
                <w:u w:val="single"/>
              </w:rPr>
            </w:pPr>
            <w:r w:rsidRPr="00351727">
              <w:rPr>
                <w:sz w:val="20"/>
                <w:szCs w:val="20"/>
              </w:rPr>
              <w:t>Chancellor’s Offi</w:t>
            </w:r>
            <w:r w:rsidR="003863F4">
              <w:rPr>
                <w:sz w:val="20"/>
                <w:szCs w:val="20"/>
              </w:rPr>
              <w:t>c</w:t>
            </w:r>
            <w:r w:rsidRPr="00351727">
              <w:rPr>
                <w:sz w:val="20"/>
                <w:szCs w:val="20"/>
              </w:rPr>
              <w:t xml:space="preserve">e </w:t>
            </w:r>
          </w:p>
        </w:tc>
        <w:tc>
          <w:tcPr>
            <w:tcW w:w="2886" w:type="dxa"/>
          </w:tcPr>
          <w:p w14:paraId="2F222E71" w14:textId="7F47E8D9" w:rsidR="001A2E05" w:rsidRPr="00351727" w:rsidRDefault="001A2E05" w:rsidP="004666CC">
            <w:pPr>
              <w:rPr>
                <w:b/>
                <w:u w:val="single"/>
              </w:rPr>
            </w:pPr>
            <w:r w:rsidRPr="00351727">
              <w:rPr>
                <w:color w:val="FF0000"/>
                <w:sz w:val="20"/>
                <w:szCs w:val="20"/>
              </w:rPr>
              <w:t>ASCCC Advisory</w:t>
            </w:r>
          </w:p>
        </w:tc>
      </w:tr>
      <w:tr w:rsidR="001A2E05" w14:paraId="28CBBA48" w14:textId="77777777" w:rsidTr="00414C13">
        <w:tc>
          <w:tcPr>
            <w:tcW w:w="13860" w:type="dxa"/>
            <w:gridSpan w:val="9"/>
          </w:tcPr>
          <w:p w14:paraId="6C2A2B4B" w14:textId="77777777" w:rsidR="001A2E05" w:rsidRPr="00351727" w:rsidRDefault="001A2E05" w:rsidP="004666CC">
            <w:pPr>
              <w:pStyle w:val="ListParagraph"/>
              <w:numPr>
                <w:ilvl w:val="0"/>
                <w:numId w:val="31"/>
              </w:numPr>
              <w:ind w:left="702"/>
              <w:rPr>
                <w:rFonts w:ascii="Times New Roman" w:hAnsi="Times New Roman" w:cs="Times New Roman"/>
                <w:b/>
                <w:u w:val="single"/>
              </w:rPr>
            </w:pPr>
            <w:r w:rsidRPr="00351727">
              <w:rPr>
                <w:rFonts w:ascii="Times New Roman" w:hAnsi="Times New Roman" w:cs="Times New Roman"/>
              </w:rPr>
              <w:t>Develop and support a sustainable and adequate equipment and facilities funding stream.</w:t>
            </w:r>
          </w:p>
        </w:tc>
      </w:tr>
      <w:tr w:rsidR="001A2E05" w14:paraId="0207FBF4" w14:textId="77777777" w:rsidTr="00053FC2">
        <w:tc>
          <w:tcPr>
            <w:tcW w:w="3016" w:type="dxa"/>
          </w:tcPr>
          <w:p w14:paraId="5A7C5425" w14:textId="77777777" w:rsidR="008A6856" w:rsidRPr="004A7E6A" w:rsidRDefault="008A6856" w:rsidP="008A6856">
            <w:pPr>
              <w:rPr>
                <w:color w:val="000000" w:themeColor="text1"/>
                <w:sz w:val="20"/>
                <w:szCs w:val="20"/>
              </w:rPr>
            </w:pPr>
            <w:r w:rsidRPr="004A7E6A">
              <w:rPr>
                <w:color w:val="000000" w:themeColor="text1"/>
                <w:sz w:val="20"/>
                <w:szCs w:val="20"/>
              </w:rPr>
              <w:t>Educational program development</w:t>
            </w:r>
          </w:p>
          <w:p w14:paraId="2AB63480" w14:textId="77777777" w:rsidR="001A2E05" w:rsidRPr="00053FC2" w:rsidRDefault="001A2E05" w:rsidP="004666CC">
            <w:pPr>
              <w:rPr>
                <w:b/>
                <w:u w:val="single"/>
              </w:rPr>
            </w:pPr>
          </w:p>
        </w:tc>
        <w:tc>
          <w:tcPr>
            <w:tcW w:w="2675" w:type="dxa"/>
            <w:gridSpan w:val="2"/>
          </w:tcPr>
          <w:p w14:paraId="2B08CBE6" w14:textId="77777777" w:rsidR="001A2E05" w:rsidRPr="00053FC2" w:rsidRDefault="001A2E05" w:rsidP="004666CC">
            <w:pPr>
              <w:rPr>
                <w:b/>
                <w:u w:val="single"/>
              </w:rPr>
            </w:pPr>
          </w:p>
        </w:tc>
        <w:tc>
          <w:tcPr>
            <w:tcW w:w="2672" w:type="dxa"/>
            <w:gridSpan w:val="2"/>
          </w:tcPr>
          <w:p w14:paraId="231843E5" w14:textId="10ED823E" w:rsidR="001A2E05" w:rsidRPr="006E0A8D" w:rsidRDefault="001A2E05" w:rsidP="006E0A8D">
            <w:pPr>
              <w:rPr>
                <w:rStyle w:val="Hyperlink"/>
                <w:sz w:val="20"/>
                <w:szCs w:val="20"/>
              </w:rPr>
            </w:pPr>
            <w:r>
              <w:rPr>
                <w:sz w:val="20"/>
                <w:szCs w:val="20"/>
              </w:rPr>
              <w:fldChar w:fldCharType="begin"/>
            </w:r>
            <w:r>
              <w:rPr>
                <w:sz w:val="20"/>
                <w:szCs w:val="20"/>
              </w:rPr>
              <w:instrText xml:space="preserve"> HYPERLINK "http://www.asccc.org/resolutions/call-statewide-conversation-funding-formulas-maintain-comprehensive-course-and-program" </w:instrText>
            </w:r>
            <w:r>
              <w:rPr>
                <w:sz w:val="20"/>
                <w:szCs w:val="20"/>
              </w:rPr>
              <w:fldChar w:fldCharType="separate"/>
            </w:r>
            <w:r w:rsidRPr="006E0A8D">
              <w:rPr>
                <w:rStyle w:val="Hyperlink"/>
                <w:sz w:val="20"/>
                <w:szCs w:val="20"/>
              </w:rPr>
              <w:t>05.01 S13</w:t>
            </w:r>
          </w:p>
          <w:p w14:paraId="43D3DE16" w14:textId="77777777" w:rsidR="001A2E05" w:rsidRPr="006E0A8D" w:rsidRDefault="001A2E05" w:rsidP="00026A3F">
            <w:pPr>
              <w:rPr>
                <w:rStyle w:val="Hyperlink"/>
                <w:sz w:val="20"/>
                <w:szCs w:val="20"/>
              </w:rPr>
            </w:pPr>
            <w:r w:rsidRPr="006E0A8D">
              <w:rPr>
                <w:rStyle w:val="Hyperlink"/>
                <w:sz w:val="20"/>
                <w:szCs w:val="20"/>
              </w:rPr>
              <w:t>Call for Statewide Conversation on Funding Formulas to Maintain Comprehensive Course and Program Offerings</w:t>
            </w:r>
          </w:p>
          <w:p w14:paraId="7549964F" w14:textId="314A16C1" w:rsidR="001A2E05" w:rsidRDefault="001A2E05" w:rsidP="00026A3F">
            <w:pPr>
              <w:rPr>
                <w:sz w:val="20"/>
                <w:szCs w:val="20"/>
              </w:rPr>
            </w:pPr>
            <w:r>
              <w:rPr>
                <w:sz w:val="20"/>
                <w:szCs w:val="20"/>
              </w:rPr>
              <w:fldChar w:fldCharType="end"/>
            </w:r>
          </w:p>
          <w:p w14:paraId="2329632A" w14:textId="5CA7656D" w:rsidR="001A2E05" w:rsidRPr="006E0A8D" w:rsidRDefault="001A2E05" w:rsidP="00026A3F">
            <w:pPr>
              <w:rPr>
                <w:sz w:val="20"/>
                <w:szCs w:val="20"/>
              </w:rPr>
            </w:pPr>
            <w:r>
              <w:rPr>
                <w:sz w:val="20"/>
                <w:szCs w:val="20"/>
              </w:rPr>
              <w:t>I</w:t>
            </w:r>
            <w:r w:rsidRPr="006E0A8D">
              <w:rPr>
                <w:sz w:val="20"/>
                <w:szCs w:val="20"/>
              </w:rPr>
              <w:t>nitiate and promote a system-wide conversation about funding formulas and other system policies that impact colleges’ and districts’ ability to offer a balanced, comprehensive set of course and program offerings that meet the needs of local communities and is consistent with the mission of California community colleges.</w:t>
            </w:r>
          </w:p>
          <w:p w14:paraId="0B82EF47" w14:textId="77777777" w:rsidR="001A2E05" w:rsidRPr="00053FC2" w:rsidRDefault="001A2E05" w:rsidP="004666CC">
            <w:pPr>
              <w:rPr>
                <w:b/>
                <w:u w:val="single"/>
              </w:rPr>
            </w:pPr>
          </w:p>
        </w:tc>
        <w:tc>
          <w:tcPr>
            <w:tcW w:w="2611" w:type="dxa"/>
            <w:gridSpan w:val="3"/>
          </w:tcPr>
          <w:p w14:paraId="39223D87" w14:textId="3E617BFC" w:rsidR="001A2E05" w:rsidRPr="00053FC2" w:rsidRDefault="001A2E05" w:rsidP="004666CC">
            <w:pPr>
              <w:rPr>
                <w:b/>
                <w:u w:val="single"/>
              </w:rPr>
            </w:pPr>
            <w:r>
              <w:rPr>
                <w:sz w:val="20"/>
                <w:szCs w:val="20"/>
              </w:rPr>
              <w:t>Chancellor’s Offi</w:t>
            </w:r>
            <w:r w:rsidR="004A7E6A">
              <w:rPr>
                <w:sz w:val="20"/>
                <w:szCs w:val="20"/>
              </w:rPr>
              <w:t>c</w:t>
            </w:r>
            <w:r>
              <w:rPr>
                <w:sz w:val="20"/>
                <w:szCs w:val="20"/>
              </w:rPr>
              <w:t xml:space="preserve">e </w:t>
            </w:r>
          </w:p>
        </w:tc>
        <w:tc>
          <w:tcPr>
            <w:tcW w:w="2886" w:type="dxa"/>
          </w:tcPr>
          <w:p w14:paraId="719F2980" w14:textId="3C1B76D1" w:rsidR="001A2E05" w:rsidRPr="00053FC2" w:rsidRDefault="001A2E05" w:rsidP="004666CC">
            <w:pPr>
              <w:rPr>
                <w:b/>
                <w:u w:val="single"/>
              </w:rPr>
            </w:pPr>
            <w:r>
              <w:rPr>
                <w:color w:val="FF0000"/>
                <w:sz w:val="20"/>
                <w:szCs w:val="20"/>
              </w:rPr>
              <w:t>ASCCC Advisory</w:t>
            </w:r>
          </w:p>
        </w:tc>
      </w:tr>
      <w:tr w:rsidR="001A2E05" w:rsidRPr="00351727" w14:paraId="0ED8899C" w14:textId="77777777" w:rsidTr="00414C13">
        <w:tc>
          <w:tcPr>
            <w:tcW w:w="13860" w:type="dxa"/>
            <w:gridSpan w:val="9"/>
          </w:tcPr>
          <w:p w14:paraId="07597B36" w14:textId="77777777" w:rsidR="001A2E05" w:rsidRPr="00351727" w:rsidRDefault="001A2E05" w:rsidP="004666CC">
            <w:pPr>
              <w:pStyle w:val="ListParagraph"/>
              <w:numPr>
                <w:ilvl w:val="0"/>
                <w:numId w:val="3"/>
              </w:numPr>
              <w:rPr>
                <w:rFonts w:ascii="Times New Roman" w:hAnsi="Times New Roman" w:cs="Times New Roman"/>
                <w:b/>
              </w:rPr>
            </w:pPr>
            <w:r w:rsidRPr="00351727">
              <w:rPr>
                <w:rFonts w:ascii="Times New Roman" w:hAnsi="Times New Roman" w:cs="Times New Roman"/>
                <w:b/>
              </w:rPr>
              <w:t xml:space="preserve">Create a predictable, targeted, and sustained funding stream that leverages multiple local, state, and federal CTE and workforce funds to support an infrastructure for collaboration at the state, regional and local levels; establish regional funding of program start-up and innovation; and develop other coordination activities. </w:t>
            </w:r>
          </w:p>
        </w:tc>
      </w:tr>
      <w:tr w:rsidR="001A2E05" w:rsidRPr="00351727" w14:paraId="20D1F39D" w14:textId="77777777" w:rsidTr="00053FC2">
        <w:tc>
          <w:tcPr>
            <w:tcW w:w="3016" w:type="dxa"/>
          </w:tcPr>
          <w:p w14:paraId="2423D89E" w14:textId="77777777" w:rsidR="001A2E05" w:rsidRPr="00351727" w:rsidRDefault="001A2E05" w:rsidP="004666CC">
            <w:pPr>
              <w:rPr>
                <w:b/>
                <w:u w:val="single"/>
              </w:rPr>
            </w:pPr>
          </w:p>
        </w:tc>
        <w:tc>
          <w:tcPr>
            <w:tcW w:w="2675" w:type="dxa"/>
            <w:gridSpan w:val="2"/>
          </w:tcPr>
          <w:p w14:paraId="0E39DD69" w14:textId="77777777" w:rsidR="001A2E05" w:rsidRPr="00351727" w:rsidRDefault="001A2E05" w:rsidP="004666CC">
            <w:pPr>
              <w:rPr>
                <w:b/>
                <w:u w:val="single"/>
              </w:rPr>
            </w:pPr>
          </w:p>
        </w:tc>
        <w:tc>
          <w:tcPr>
            <w:tcW w:w="2672" w:type="dxa"/>
            <w:gridSpan w:val="2"/>
          </w:tcPr>
          <w:p w14:paraId="5CEFC339" w14:textId="77777777" w:rsidR="001A2E05" w:rsidRPr="00351727" w:rsidRDefault="001A2E05" w:rsidP="00F02923">
            <w:pPr>
              <w:rPr>
                <w:b/>
                <w:u w:val="single"/>
              </w:rPr>
            </w:pPr>
          </w:p>
        </w:tc>
        <w:tc>
          <w:tcPr>
            <w:tcW w:w="2611" w:type="dxa"/>
            <w:gridSpan w:val="3"/>
          </w:tcPr>
          <w:p w14:paraId="75213B22" w14:textId="37B7B09B" w:rsidR="001A2E05" w:rsidRPr="00351727" w:rsidRDefault="001A2E05" w:rsidP="004666CC">
            <w:pPr>
              <w:rPr>
                <w:b/>
                <w:u w:val="single"/>
              </w:rPr>
            </w:pPr>
            <w:r w:rsidRPr="00351727">
              <w:rPr>
                <w:sz w:val="20"/>
                <w:szCs w:val="20"/>
              </w:rPr>
              <w:t>Chancellor’s Offi</w:t>
            </w:r>
            <w:r w:rsidR="003863F4">
              <w:rPr>
                <w:sz w:val="20"/>
                <w:szCs w:val="20"/>
              </w:rPr>
              <w:t>c</w:t>
            </w:r>
            <w:r w:rsidRPr="00351727">
              <w:rPr>
                <w:sz w:val="20"/>
                <w:szCs w:val="20"/>
              </w:rPr>
              <w:t xml:space="preserve">e </w:t>
            </w:r>
          </w:p>
        </w:tc>
        <w:tc>
          <w:tcPr>
            <w:tcW w:w="2886" w:type="dxa"/>
          </w:tcPr>
          <w:p w14:paraId="16E66C35" w14:textId="201B133F" w:rsidR="001A2E05" w:rsidRPr="00351727" w:rsidRDefault="001A2E05" w:rsidP="004666CC">
            <w:pPr>
              <w:rPr>
                <w:b/>
                <w:u w:val="single"/>
              </w:rPr>
            </w:pPr>
            <w:r w:rsidRPr="00351727">
              <w:rPr>
                <w:color w:val="FF0000"/>
                <w:sz w:val="20"/>
                <w:szCs w:val="20"/>
              </w:rPr>
              <w:t>ASCCC Advisory</w:t>
            </w:r>
          </w:p>
        </w:tc>
      </w:tr>
      <w:tr w:rsidR="001A2E05" w:rsidRPr="00351727" w14:paraId="691C1715" w14:textId="77777777" w:rsidTr="00414C13">
        <w:tc>
          <w:tcPr>
            <w:tcW w:w="13860" w:type="dxa"/>
            <w:gridSpan w:val="9"/>
          </w:tcPr>
          <w:p w14:paraId="036F8A5F" w14:textId="77777777" w:rsidR="001A2E05" w:rsidRPr="00351727" w:rsidRDefault="001A2E05" w:rsidP="004666CC">
            <w:pPr>
              <w:pStyle w:val="ListParagraph"/>
              <w:numPr>
                <w:ilvl w:val="0"/>
                <w:numId w:val="3"/>
              </w:numPr>
              <w:rPr>
                <w:rFonts w:ascii="Times New Roman" w:hAnsi="Times New Roman" w:cs="Times New Roman"/>
                <w:b/>
              </w:rPr>
            </w:pPr>
            <w:r w:rsidRPr="00351727">
              <w:rPr>
                <w:rFonts w:ascii="Times New Roman" w:hAnsi="Times New Roman" w:cs="Times New Roman"/>
                <w:b/>
              </w:rPr>
              <w:t>Review, analyze, and modify, as needed, laws and regulations related to student fees for disposable and consumable materials and CTE facilities.</w:t>
            </w:r>
          </w:p>
        </w:tc>
      </w:tr>
      <w:tr w:rsidR="001A2E05" w14:paraId="3D9D9615" w14:textId="77777777" w:rsidTr="00414C13">
        <w:tc>
          <w:tcPr>
            <w:tcW w:w="13860" w:type="dxa"/>
            <w:gridSpan w:val="9"/>
          </w:tcPr>
          <w:p w14:paraId="75AE5FC9" w14:textId="77777777" w:rsidR="001A2E05" w:rsidRPr="00351727" w:rsidRDefault="001A2E05" w:rsidP="004666CC">
            <w:pPr>
              <w:pStyle w:val="ListParagraph"/>
              <w:numPr>
                <w:ilvl w:val="0"/>
                <w:numId w:val="32"/>
              </w:numPr>
              <w:ind w:left="702"/>
              <w:rPr>
                <w:rFonts w:ascii="Times New Roman" w:hAnsi="Times New Roman" w:cs="Times New Roman"/>
                <w:b/>
                <w:u w:val="single"/>
              </w:rPr>
            </w:pPr>
            <w:r w:rsidRPr="00351727">
              <w:rPr>
                <w:rFonts w:ascii="Times New Roman" w:hAnsi="Times New Roman" w:cs="Times New Roman"/>
              </w:rPr>
              <w:t>Evaluate the impact of student fees for disposable and consumable materials on CTE programs and students. If warranted, explore options for funding support that does not limit student access, such as covering the cost of fees under a BOG waiver.</w:t>
            </w:r>
          </w:p>
        </w:tc>
      </w:tr>
      <w:tr w:rsidR="000C1BC3" w14:paraId="4B2E4396" w14:textId="77777777" w:rsidTr="00053FC2">
        <w:tc>
          <w:tcPr>
            <w:tcW w:w="3016" w:type="dxa"/>
          </w:tcPr>
          <w:p w14:paraId="61938B67" w14:textId="77777777" w:rsidR="000C1BC3" w:rsidRPr="00351727" w:rsidRDefault="000C1BC3" w:rsidP="004666CC">
            <w:pPr>
              <w:rPr>
                <w:b/>
                <w:u w:val="single"/>
              </w:rPr>
            </w:pPr>
          </w:p>
        </w:tc>
        <w:tc>
          <w:tcPr>
            <w:tcW w:w="2675" w:type="dxa"/>
            <w:gridSpan w:val="2"/>
          </w:tcPr>
          <w:p w14:paraId="7457DE35" w14:textId="77777777" w:rsidR="000C1BC3" w:rsidRPr="00053FC2" w:rsidRDefault="000C1BC3" w:rsidP="004666CC">
            <w:pPr>
              <w:rPr>
                <w:b/>
                <w:u w:val="single"/>
              </w:rPr>
            </w:pPr>
          </w:p>
        </w:tc>
        <w:tc>
          <w:tcPr>
            <w:tcW w:w="2672" w:type="dxa"/>
            <w:gridSpan w:val="2"/>
          </w:tcPr>
          <w:p w14:paraId="69F497C1" w14:textId="77777777" w:rsidR="000C1BC3" w:rsidRPr="00053FC2" w:rsidRDefault="000C1BC3" w:rsidP="004666CC">
            <w:pPr>
              <w:rPr>
                <w:b/>
                <w:u w:val="single"/>
              </w:rPr>
            </w:pPr>
          </w:p>
        </w:tc>
        <w:tc>
          <w:tcPr>
            <w:tcW w:w="2611" w:type="dxa"/>
            <w:gridSpan w:val="3"/>
          </w:tcPr>
          <w:p w14:paraId="676EB4BB" w14:textId="1CFF0ECA" w:rsidR="000C1BC3" w:rsidRPr="00053FC2" w:rsidRDefault="000C1BC3" w:rsidP="004666CC">
            <w:pPr>
              <w:rPr>
                <w:b/>
                <w:u w:val="single"/>
              </w:rPr>
            </w:pPr>
            <w:r>
              <w:rPr>
                <w:sz w:val="20"/>
                <w:szCs w:val="20"/>
              </w:rPr>
              <w:t>Chancellor’s Offi</w:t>
            </w:r>
            <w:r w:rsidR="003863F4">
              <w:rPr>
                <w:sz w:val="20"/>
                <w:szCs w:val="20"/>
              </w:rPr>
              <w:t>c</w:t>
            </w:r>
            <w:r>
              <w:rPr>
                <w:sz w:val="20"/>
                <w:szCs w:val="20"/>
              </w:rPr>
              <w:t xml:space="preserve">e </w:t>
            </w:r>
          </w:p>
        </w:tc>
        <w:tc>
          <w:tcPr>
            <w:tcW w:w="2886" w:type="dxa"/>
          </w:tcPr>
          <w:p w14:paraId="1D18602C" w14:textId="4E8C8836" w:rsidR="000C1BC3" w:rsidRPr="00053FC2" w:rsidRDefault="000C1BC3" w:rsidP="004666CC">
            <w:pPr>
              <w:rPr>
                <w:b/>
                <w:u w:val="single"/>
              </w:rPr>
            </w:pPr>
            <w:r>
              <w:rPr>
                <w:color w:val="FF0000"/>
                <w:sz w:val="20"/>
                <w:szCs w:val="20"/>
              </w:rPr>
              <w:t>ASCCC Advisory</w:t>
            </w:r>
          </w:p>
        </w:tc>
      </w:tr>
      <w:tr w:rsidR="000C1BC3" w14:paraId="62C5FB50" w14:textId="77777777" w:rsidTr="00414C13">
        <w:tc>
          <w:tcPr>
            <w:tcW w:w="13860" w:type="dxa"/>
            <w:gridSpan w:val="9"/>
          </w:tcPr>
          <w:p w14:paraId="48E3B5E5" w14:textId="77777777" w:rsidR="000C1BC3" w:rsidRPr="00351727" w:rsidRDefault="000C1BC3" w:rsidP="004666CC">
            <w:pPr>
              <w:pStyle w:val="ListParagraph"/>
              <w:numPr>
                <w:ilvl w:val="0"/>
                <w:numId w:val="32"/>
              </w:numPr>
              <w:ind w:left="702"/>
              <w:rPr>
                <w:rFonts w:ascii="Times New Roman" w:hAnsi="Times New Roman" w:cs="Times New Roman"/>
                <w:b/>
                <w:u w:val="single"/>
              </w:rPr>
            </w:pPr>
            <w:r w:rsidRPr="00351727">
              <w:rPr>
                <w:rFonts w:ascii="Times New Roman" w:hAnsi="Times New Roman" w:cs="Times New Roman"/>
              </w:rPr>
              <w:t>Provide flexibility and funding for new and modernized CTE facilities.</w:t>
            </w:r>
          </w:p>
        </w:tc>
      </w:tr>
      <w:tr w:rsidR="000C1BC3" w14:paraId="35A1947C" w14:textId="77777777" w:rsidTr="00053FC2">
        <w:tc>
          <w:tcPr>
            <w:tcW w:w="3016" w:type="dxa"/>
          </w:tcPr>
          <w:p w14:paraId="60472632" w14:textId="77777777" w:rsidR="000C1BC3" w:rsidRPr="00351727" w:rsidRDefault="000C1BC3" w:rsidP="004666CC">
            <w:pPr>
              <w:rPr>
                <w:b/>
                <w:u w:val="single"/>
              </w:rPr>
            </w:pPr>
          </w:p>
        </w:tc>
        <w:tc>
          <w:tcPr>
            <w:tcW w:w="2675" w:type="dxa"/>
            <w:gridSpan w:val="2"/>
          </w:tcPr>
          <w:p w14:paraId="249128DA" w14:textId="77777777" w:rsidR="000C1BC3" w:rsidRPr="00053FC2" w:rsidRDefault="000C1BC3" w:rsidP="004666CC">
            <w:pPr>
              <w:rPr>
                <w:b/>
                <w:u w:val="single"/>
              </w:rPr>
            </w:pPr>
          </w:p>
        </w:tc>
        <w:tc>
          <w:tcPr>
            <w:tcW w:w="2672" w:type="dxa"/>
            <w:gridSpan w:val="2"/>
          </w:tcPr>
          <w:p w14:paraId="6FD9011E" w14:textId="77777777" w:rsidR="000C1BC3" w:rsidRPr="00053FC2" w:rsidRDefault="000C1BC3" w:rsidP="004666CC">
            <w:pPr>
              <w:rPr>
                <w:b/>
                <w:u w:val="single"/>
              </w:rPr>
            </w:pPr>
          </w:p>
        </w:tc>
        <w:tc>
          <w:tcPr>
            <w:tcW w:w="2611" w:type="dxa"/>
            <w:gridSpan w:val="3"/>
          </w:tcPr>
          <w:p w14:paraId="730CD880" w14:textId="683C64CA" w:rsidR="000C1BC3" w:rsidRPr="00053FC2" w:rsidRDefault="000C1BC3" w:rsidP="004666CC">
            <w:pPr>
              <w:rPr>
                <w:b/>
                <w:u w:val="single"/>
              </w:rPr>
            </w:pPr>
            <w:r>
              <w:rPr>
                <w:sz w:val="20"/>
                <w:szCs w:val="20"/>
              </w:rPr>
              <w:t xml:space="preserve">Chancellor’s </w:t>
            </w:r>
            <w:r w:rsidR="00C3674A">
              <w:rPr>
                <w:sz w:val="20"/>
                <w:szCs w:val="20"/>
              </w:rPr>
              <w:t>Office</w:t>
            </w:r>
            <w:r>
              <w:rPr>
                <w:sz w:val="20"/>
                <w:szCs w:val="20"/>
              </w:rPr>
              <w:t xml:space="preserve"> </w:t>
            </w:r>
          </w:p>
        </w:tc>
        <w:tc>
          <w:tcPr>
            <w:tcW w:w="2886" w:type="dxa"/>
          </w:tcPr>
          <w:p w14:paraId="4EDAA966" w14:textId="0BEC4089" w:rsidR="000C1BC3" w:rsidRPr="00053FC2" w:rsidRDefault="000C1BC3" w:rsidP="004666CC">
            <w:pPr>
              <w:rPr>
                <w:b/>
                <w:u w:val="single"/>
              </w:rPr>
            </w:pPr>
            <w:r>
              <w:rPr>
                <w:color w:val="FF0000"/>
                <w:sz w:val="20"/>
                <w:szCs w:val="20"/>
              </w:rPr>
              <w:t>ASCCC Advisory</w:t>
            </w:r>
          </w:p>
        </w:tc>
      </w:tr>
      <w:tr w:rsidR="000C1BC3" w14:paraId="6E0CCE4E" w14:textId="77777777" w:rsidTr="00414C13">
        <w:tc>
          <w:tcPr>
            <w:tcW w:w="13860" w:type="dxa"/>
            <w:gridSpan w:val="9"/>
          </w:tcPr>
          <w:p w14:paraId="12CA1824" w14:textId="77777777" w:rsidR="000C1BC3" w:rsidRPr="00351727" w:rsidRDefault="000C1BC3" w:rsidP="004666CC">
            <w:pPr>
              <w:pStyle w:val="ListParagraph"/>
              <w:numPr>
                <w:ilvl w:val="0"/>
                <w:numId w:val="3"/>
              </w:numPr>
              <w:rPr>
                <w:rFonts w:ascii="Times New Roman" w:hAnsi="Times New Roman" w:cs="Times New Roman"/>
                <w:b/>
                <w:u w:val="single"/>
              </w:rPr>
            </w:pPr>
            <w:r w:rsidRPr="00351727">
              <w:rPr>
                <w:rFonts w:ascii="Times New Roman" w:hAnsi="Times New Roman" w:cs="Times New Roman"/>
                <w:b/>
              </w:rPr>
              <w:t>Create incentives and streamline processes to maximize public and private investment in support of CTE programs.</w:t>
            </w:r>
          </w:p>
        </w:tc>
      </w:tr>
      <w:tr w:rsidR="000C1BC3" w14:paraId="6D2A91AF" w14:textId="77777777" w:rsidTr="00053FC2">
        <w:tc>
          <w:tcPr>
            <w:tcW w:w="3016" w:type="dxa"/>
          </w:tcPr>
          <w:p w14:paraId="7C536D22" w14:textId="77777777" w:rsidR="000C1BC3" w:rsidRPr="00351727" w:rsidRDefault="000C1BC3" w:rsidP="004666CC">
            <w:pPr>
              <w:rPr>
                <w:b/>
                <w:u w:val="single"/>
              </w:rPr>
            </w:pPr>
          </w:p>
        </w:tc>
        <w:tc>
          <w:tcPr>
            <w:tcW w:w="2675" w:type="dxa"/>
            <w:gridSpan w:val="2"/>
          </w:tcPr>
          <w:p w14:paraId="278EB9A6" w14:textId="77777777" w:rsidR="000C1BC3" w:rsidRPr="00053FC2" w:rsidRDefault="000C1BC3" w:rsidP="004666CC">
            <w:pPr>
              <w:rPr>
                <w:b/>
                <w:u w:val="single"/>
              </w:rPr>
            </w:pPr>
          </w:p>
        </w:tc>
        <w:tc>
          <w:tcPr>
            <w:tcW w:w="2672" w:type="dxa"/>
            <w:gridSpan w:val="2"/>
          </w:tcPr>
          <w:p w14:paraId="2974D85E" w14:textId="77777777" w:rsidR="000C1BC3" w:rsidRPr="00053FC2" w:rsidRDefault="000C1BC3" w:rsidP="004666CC">
            <w:pPr>
              <w:rPr>
                <w:b/>
                <w:u w:val="single"/>
              </w:rPr>
            </w:pPr>
          </w:p>
        </w:tc>
        <w:tc>
          <w:tcPr>
            <w:tcW w:w="2611" w:type="dxa"/>
            <w:gridSpan w:val="3"/>
          </w:tcPr>
          <w:p w14:paraId="029D576F" w14:textId="7FE7251C" w:rsidR="000C1BC3" w:rsidRPr="00053FC2" w:rsidRDefault="000C1BC3" w:rsidP="004666CC">
            <w:pPr>
              <w:rPr>
                <w:b/>
                <w:u w:val="single"/>
              </w:rPr>
            </w:pPr>
            <w:r>
              <w:rPr>
                <w:sz w:val="20"/>
                <w:szCs w:val="20"/>
              </w:rPr>
              <w:t>Chancellor’s Offi</w:t>
            </w:r>
            <w:r w:rsidR="003863F4">
              <w:rPr>
                <w:sz w:val="20"/>
                <w:szCs w:val="20"/>
              </w:rPr>
              <w:t>c</w:t>
            </w:r>
            <w:r>
              <w:rPr>
                <w:sz w:val="20"/>
                <w:szCs w:val="20"/>
              </w:rPr>
              <w:t xml:space="preserve">e </w:t>
            </w:r>
          </w:p>
        </w:tc>
        <w:tc>
          <w:tcPr>
            <w:tcW w:w="2886" w:type="dxa"/>
          </w:tcPr>
          <w:p w14:paraId="692FE329" w14:textId="040F4279" w:rsidR="000C1BC3" w:rsidRPr="00053FC2" w:rsidRDefault="000C1BC3" w:rsidP="004666CC">
            <w:pPr>
              <w:rPr>
                <w:b/>
                <w:u w:val="single"/>
              </w:rPr>
            </w:pPr>
            <w:r>
              <w:rPr>
                <w:color w:val="FF0000"/>
                <w:sz w:val="20"/>
                <w:szCs w:val="20"/>
              </w:rPr>
              <w:t>ASCCC Advisory</w:t>
            </w:r>
          </w:p>
        </w:tc>
      </w:tr>
    </w:tbl>
    <w:p w14:paraId="1523C5BC" w14:textId="77777777" w:rsidR="00DA6BAB" w:rsidRDefault="00DA6BAB"/>
    <w:p w14:paraId="47495478" w14:textId="77777777" w:rsidR="004F10FB" w:rsidRDefault="004F10FB"/>
    <w:p w14:paraId="48FCC764" w14:textId="77777777" w:rsidR="004F10FB" w:rsidRPr="00774970" w:rsidRDefault="004F10FB"/>
    <w:sectPr w:rsidR="004F10FB" w:rsidRPr="00774970" w:rsidSect="00053FC2">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63FFF" w14:textId="77777777" w:rsidR="009557FD" w:rsidRDefault="009557FD" w:rsidP="00774970">
      <w:r>
        <w:separator/>
      </w:r>
    </w:p>
  </w:endnote>
  <w:endnote w:type="continuationSeparator" w:id="0">
    <w:p w14:paraId="4A806F97" w14:textId="77777777" w:rsidR="009557FD" w:rsidRDefault="009557FD" w:rsidP="0077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504346"/>
      <w:docPartObj>
        <w:docPartGallery w:val="Page Numbers (Bottom of Page)"/>
        <w:docPartUnique/>
      </w:docPartObj>
    </w:sdtPr>
    <w:sdtEndPr>
      <w:rPr>
        <w:noProof/>
      </w:rPr>
    </w:sdtEndPr>
    <w:sdtContent>
      <w:p w14:paraId="0B9299A8" w14:textId="77777777" w:rsidR="00351727" w:rsidRDefault="00351727">
        <w:pPr>
          <w:pStyle w:val="Footer"/>
          <w:jc w:val="center"/>
        </w:pPr>
        <w:r>
          <w:fldChar w:fldCharType="begin"/>
        </w:r>
        <w:r>
          <w:instrText xml:space="preserve"> PAGE   \* MERGEFORMAT </w:instrText>
        </w:r>
        <w:r>
          <w:fldChar w:fldCharType="separate"/>
        </w:r>
        <w:r w:rsidR="00C764A9">
          <w:rPr>
            <w:noProof/>
          </w:rPr>
          <w:t>2</w:t>
        </w:r>
        <w:r>
          <w:rPr>
            <w:noProof/>
          </w:rPr>
          <w:fldChar w:fldCharType="end"/>
        </w:r>
      </w:p>
    </w:sdtContent>
  </w:sdt>
  <w:p w14:paraId="121D8698" w14:textId="77777777" w:rsidR="00351727" w:rsidRDefault="00351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44D09" w14:textId="77777777" w:rsidR="009557FD" w:rsidRDefault="009557FD" w:rsidP="00774970">
      <w:r>
        <w:separator/>
      </w:r>
    </w:p>
  </w:footnote>
  <w:footnote w:type="continuationSeparator" w:id="0">
    <w:p w14:paraId="0C57FAAD" w14:textId="77777777" w:rsidR="009557FD" w:rsidRDefault="009557FD" w:rsidP="00774970">
      <w:r>
        <w:continuationSeparator/>
      </w:r>
    </w:p>
  </w:footnote>
  <w:footnote w:id="1">
    <w:p w14:paraId="32AA4EFB" w14:textId="622B4FCA" w:rsidR="00351727" w:rsidRPr="00D7294E" w:rsidRDefault="00351727">
      <w:pPr>
        <w:pStyle w:val="FootnoteText"/>
        <w:rPr>
          <w:rFonts w:ascii="Times New Roman" w:hAnsi="Times New Roman" w:cs="Times New Roman"/>
          <w:sz w:val="20"/>
          <w:szCs w:val="20"/>
        </w:rPr>
      </w:pPr>
      <w:r>
        <w:rPr>
          <w:rStyle w:val="FootnoteReference"/>
        </w:rPr>
        <w:footnoteRef/>
      </w:r>
      <w:r>
        <w:t xml:space="preserve"> </w:t>
      </w:r>
      <w:r w:rsidRPr="00D7294E">
        <w:rPr>
          <w:rFonts w:ascii="Times New Roman" w:hAnsi="Times New Roman" w:cs="Times New Roman"/>
          <w:sz w:val="20"/>
          <w:szCs w:val="20"/>
        </w:rPr>
        <w:t xml:space="preserve">Advisory Role:  The ASCCC will take an advisory role in this area rather than lead the conversation.  </w:t>
      </w:r>
    </w:p>
  </w:footnote>
  <w:footnote w:id="2">
    <w:p w14:paraId="7AC14E72" w14:textId="20F4BE13" w:rsidR="00351727" w:rsidRDefault="00351727">
      <w:pPr>
        <w:pStyle w:val="FootnoteText"/>
      </w:pPr>
      <w:r>
        <w:rPr>
          <w:rStyle w:val="FootnoteReference"/>
        </w:rPr>
        <w:footnoteRef/>
      </w:r>
      <w:r>
        <w:t xml:space="preserve"> </w:t>
      </w:r>
      <w:r w:rsidRPr="00A65F4A">
        <w:rPr>
          <w:rFonts w:ascii="Times New Roman" w:hAnsi="Times New Roman" w:cs="Times New Roman"/>
          <w:sz w:val="20"/>
          <w:szCs w:val="20"/>
        </w:rPr>
        <w:t xml:space="preserve">ASCCC would lead efforts in this area.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F89"/>
    <w:multiLevelType w:val="hybridMultilevel"/>
    <w:tmpl w:val="ED1C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35C1F"/>
    <w:multiLevelType w:val="hybridMultilevel"/>
    <w:tmpl w:val="CB309D44"/>
    <w:lvl w:ilvl="0" w:tplc="E8B85F1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6B15"/>
    <w:multiLevelType w:val="hybridMultilevel"/>
    <w:tmpl w:val="FC18B3E0"/>
    <w:lvl w:ilvl="0" w:tplc="432205A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8298D"/>
    <w:multiLevelType w:val="hybridMultilevel"/>
    <w:tmpl w:val="933E4366"/>
    <w:lvl w:ilvl="0" w:tplc="432205A0">
      <w:start w:val="1"/>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4B262C"/>
    <w:multiLevelType w:val="hybridMultilevel"/>
    <w:tmpl w:val="39A6F4E0"/>
    <w:lvl w:ilvl="0" w:tplc="799A8B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F204C"/>
    <w:multiLevelType w:val="hybridMultilevel"/>
    <w:tmpl w:val="654A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6F0"/>
    <w:multiLevelType w:val="hybridMultilevel"/>
    <w:tmpl w:val="4D400FFC"/>
    <w:lvl w:ilvl="0" w:tplc="E8B85F1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92A36"/>
    <w:multiLevelType w:val="hybridMultilevel"/>
    <w:tmpl w:val="03CC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753AB"/>
    <w:multiLevelType w:val="hybridMultilevel"/>
    <w:tmpl w:val="72B05CDA"/>
    <w:lvl w:ilvl="0" w:tplc="AEEC2C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F43ED"/>
    <w:multiLevelType w:val="hybridMultilevel"/>
    <w:tmpl w:val="3118CFEA"/>
    <w:lvl w:ilvl="0" w:tplc="E8B85F1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E65B5"/>
    <w:multiLevelType w:val="hybridMultilevel"/>
    <w:tmpl w:val="2A102612"/>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066B6"/>
    <w:multiLevelType w:val="hybridMultilevel"/>
    <w:tmpl w:val="34867A06"/>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721AC"/>
    <w:multiLevelType w:val="hybridMultilevel"/>
    <w:tmpl w:val="D47E6C92"/>
    <w:lvl w:ilvl="0" w:tplc="BDA88B8E">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67A2D"/>
    <w:multiLevelType w:val="hybridMultilevel"/>
    <w:tmpl w:val="EC5E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02807"/>
    <w:multiLevelType w:val="hybridMultilevel"/>
    <w:tmpl w:val="B682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04344"/>
    <w:multiLevelType w:val="hybridMultilevel"/>
    <w:tmpl w:val="803AC974"/>
    <w:lvl w:ilvl="0" w:tplc="E8B85F1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53781B"/>
    <w:multiLevelType w:val="hybridMultilevel"/>
    <w:tmpl w:val="C80290FA"/>
    <w:lvl w:ilvl="0" w:tplc="E8B85F1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166C1"/>
    <w:multiLevelType w:val="hybridMultilevel"/>
    <w:tmpl w:val="944C9CD8"/>
    <w:lvl w:ilvl="0" w:tplc="E8B85F1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546E9F"/>
    <w:multiLevelType w:val="hybridMultilevel"/>
    <w:tmpl w:val="07B8711A"/>
    <w:lvl w:ilvl="0" w:tplc="432205A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36A8A"/>
    <w:multiLevelType w:val="hybridMultilevel"/>
    <w:tmpl w:val="DF0A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51241"/>
    <w:multiLevelType w:val="hybridMultilevel"/>
    <w:tmpl w:val="F3C6A016"/>
    <w:lvl w:ilvl="0" w:tplc="432205A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23E95"/>
    <w:multiLevelType w:val="hybridMultilevel"/>
    <w:tmpl w:val="6A8C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62BFF"/>
    <w:multiLevelType w:val="hybridMultilevel"/>
    <w:tmpl w:val="05CA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D7022"/>
    <w:multiLevelType w:val="hybridMultilevel"/>
    <w:tmpl w:val="296EA8DC"/>
    <w:lvl w:ilvl="0" w:tplc="799A8B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67BD4"/>
    <w:multiLevelType w:val="hybridMultilevel"/>
    <w:tmpl w:val="AD4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14D6C"/>
    <w:multiLevelType w:val="hybridMultilevel"/>
    <w:tmpl w:val="56A2126C"/>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81963"/>
    <w:multiLevelType w:val="hybridMultilevel"/>
    <w:tmpl w:val="EAE26734"/>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22F39"/>
    <w:multiLevelType w:val="hybridMultilevel"/>
    <w:tmpl w:val="99643C7C"/>
    <w:lvl w:ilvl="0" w:tplc="E8B85F1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393596"/>
    <w:multiLevelType w:val="hybridMultilevel"/>
    <w:tmpl w:val="DB38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463B6"/>
    <w:multiLevelType w:val="hybridMultilevel"/>
    <w:tmpl w:val="EF5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7F01F7"/>
    <w:multiLevelType w:val="hybridMultilevel"/>
    <w:tmpl w:val="39F6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D19B4"/>
    <w:multiLevelType w:val="hybridMultilevel"/>
    <w:tmpl w:val="A7A8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D0F9C"/>
    <w:multiLevelType w:val="hybridMultilevel"/>
    <w:tmpl w:val="C1182FC2"/>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A2338B"/>
    <w:multiLevelType w:val="hybridMultilevel"/>
    <w:tmpl w:val="97EE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F0B48"/>
    <w:multiLevelType w:val="hybridMultilevel"/>
    <w:tmpl w:val="61F8EAFA"/>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12CD9"/>
    <w:multiLevelType w:val="hybridMultilevel"/>
    <w:tmpl w:val="52E0D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193A9D"/>
    <w:multiLevelType w:val="hybridMultilevel"/>
    <w:tmpl w:val="B240B21E"/>
    <w:lvl w:ilvl="0" w:tplc="799A8B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C50EF"/>
    <w:multiLevelType w:val="hybridMultilevel"/>
    <w:tmpl w:val="CCF8F23C"/>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A4CA4"/>
    <w:multiLevelType w:val="hybridMultilevel"/>
    <w:tmpl w:val="0366BF10"/>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C1056"/>
    <w:multiLevelType w:val="hybridMultilevel"/>
    <w:tmpl w:val="ECC8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100CA"/>
    <w:multiLevelType w:val="hybridMultilevel"/>
    <w:tmpl w:val="01DE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D0108"/>
    <w:multiLevelType w:val="hybridMultilevel"/>
    <w:tmpl w:val="31B8B008"/>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B4D47"/>
    <w:multiLevelType w:val="hybridMultilevel"/>
    <w:tmpl w:val="A89E308C"/>
    <w:lvl w:ilvl="0" w:tplc="799A8B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792A45"/>
    <w:multiLevelType w:val="hybridMultilevel"/>
    <w:tmpl w:val="EF924C2E"/>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147BEA"/>
    <w:multiLevelType w:val="hybridMultilevel"/>
    <w:tmpl w:val="248A1B98"/>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172FA"/>
    <w:multiLevelType w:val="hybridMultilevel"/>
    <w:tmpl w:val="40A8DCF0"/>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480FDB"/>
    <w:multiLevelType w:val="hybridMultilevel"/>
    <w:tmpl w:val="826CEA38"/>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C0351F"/>
    <w:multiLevelType w:val="hybridMultilevel"/>
    <w:tmpl w:val="4CDA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6"/>
  </w:num>
  <w:num w:numId="5">
    <w:abstractNumId w:val="27"/>
  </w:num>
  <w:num w:numId="6">
    <w:abstractNumId w:val="17"/>
  </w:num>
  <w:num w:numId="7">
    <w:abstractNumId w:val="9"/>
  </w:num>
  <w:num w:numId="8">
    <w:abstractNumId w:val="25"/>
  </w:num>
  <w:num w:numId="9">
    <w:abstractNumId w:val="45"/>
  </w:num>
  <w:num w:numId="10">
    <w:abstractNumId w:val="41"/>
  </w:num>
  <w:num w:numId="11">
    <w:abstractNumId w:val="46"/>
  </w:num>
  <w:num w:numId="12">
    <w:abstractNumId w:val="34"/>
  </w:num>
  <w:num w:numId="13">
    <w:abstractNumId w:val="43"/>
  </w:num>
  <w:num w:numId="14">
    <w:abstractNumId w:val="32"/>
  </w:num>
  <w:num w:numId="15">
    <w:abstractNumId w:val="11"/>
  </w:num>
  <w:num w:numId="16">
    <w:abstractNumId w:val="37"/>
  </w:num>
  <w:num w:numId="17">
    <w:abstractNumId w:val="38"/>
  </w:num>
  <w:num w:numId="18">
    <w:abstractNumId w:val="44"/>
  </w:num>
  <w:num w:numId="19">
    <w:abstractNumId w:val="10"/>
  </w:num>
  <w:num w:numId="20">
    <w:abstractNumId w:val="26"/>
  </w:num>
  <w:num w:numId="21">
    <w:abstractNumId w:val="31"/>
  </w:num>
  <w:num w:numId="22">
    <w:abstractNumId w:val="4"/>
  </w:num>
  <w:num w:numId="23">
    <w:abstractNumId w:val="42"/>
  </w:num>
  <w:num w:numId="24">
    <w:abstractNumId w:val="36"/>
  </w:num>
  <w:num w:numId="25">
    <w:abstractNumId w:val="23"/>
  </w:num>
  <w:num w:numId="26">
    <w:abstractNumId w:val="35"/>
  </w:num>
  <w:num w:numId="27">
    <w:abstractNumId w:val="8"/>
  </w:num>
  <w:num w:numId="28">
    <w:abstractNumId w:val="12"/>
  </w:num>
  <w:num w:numId="29">
    <w:abstractNumId w:val="3"/>
  </w:num>
  <w:num w:numId="30">
    <w:abstractNumId w:val="18"/>
  </w:num>
  <w:num w:numId="31">
    <w:abstractNumId w:val="2"/>
  </w:num>
  <w:num w:numId="32">
    <w:abstractNumId w:val="20"/>
  </w:num>
  <w:num w:numId="33">
    <w:abstractNumId w:val="21"/>
  </w:num>
  <w:num w:numId="34">
    <w:abstractNumId w:val="13"/>
  </w:num>
  <w:num w:numId="35">
    <w:abstractNumId w:val="19"/>
  </w:num>
  <w:num w:numId="36">
    <w:abstractNumId w:val="33"/>
  </w:num>
  <w:num w:numId="37">
    <w:abstractNumId w:val="0"/>
  </w:num>
  <w:num w:numId="38">
    <w:abstractNumId w:val="47"/>
  </w:num>
  <w:num w:numId="39">
    <w:abstractNumId w:val="24"/>
  </w:num>
  <w:num w:numId="40">
    <w:abstractNumId w:val="39"/>
  </w:num>
  <w:num w:numId="41">
    <w:abstractNumId w:val="28"/>
  </w:num>
  <w:num w:numId="42">
    <w:abstractNumId w:val="40"/>
  </w:num>
  <w:num w:numId="43">
    <w:abstractNumId w:val="7"/>
  </w:num>
  <w:num w:numId="44">
    <w:abstractNumId w:val="14"/>
  </w:num>
  <w:num w:numId="45">
    <w:abstractNumId w:val="5"/>
  </w:num>
  <w:num w:numId="46">
    <w:abstractNumId w:val="22"/>
  </w:num>
  <w:num w:numId="47">
    <w:abstractNumId w:val="2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AB"/>
    <w:rsid w:val="00000854"/>
    <w:rsid w:val="000015A7"/>
    <w:rsid w:val="00005225"/>
    <w:rsid w:val="00006718"/>
    <w:rsid w:val="00026A3F"/>
    <w:rsid w:val="00053FC2"/>
    <w:rsid w:val="00054AFE"/>
    <w:rsid w:val="00056C67"/>
    <w:rsid w:val="00084FB1"/>
    <w:rsid w:val="000A6FD9"/>
    <w:rsid w:val="000B11E9"/>
    <w:rsid w:val="000C1BC3"/>
    <w:rsid w:val="000C6AE3"/>
    <w:rsid w:val="000D05CD"/>
    <w:rsid w:val="000D1EE9"/>
    <w:rsid w:val="000D6D01"/>
    <w:rsid w:val="000F5AE5"/>
    <w:rsid w:val="0011644F"/>
    <w:rsid w:val="00131E83"/>
    <w:rsid w:val="00144CD3"/>
    <w:rsid w:val="00174A41"/>
    <w:rsid w:val="0018624E"/>
    <w:rsid w:val="001906DB"/>
    <w:rsid w:val="001A2E05"/>
    <w:rsid w:val="001A6886"/>
    <w:rsid w:val="001B0F6E"/>
    <w:rsid w:val="001C5EA8"/>
    <w:rsid w:val="001C619B"/>
    <w:rsid w:val="001C730A"/>
    <w:rsid w:val="001D1FDE"/>
    <w:rsid w:val="001D5E2D"/>
    <w:rsid w:val="001D67D4"/>
    <w:rsid w:val="00203E66"/>
    <w:rsid w:val="002255A8"/>
    <w:rsid w:val="0026128D"/>
    <w:rsid w:val="0026155E"/>
    <w:rsid w:val="00266BC5"/>
    <w:rsid w:val="0027253A"/>
    <w:rsid w:val="002C5E50"/>
    <w:rsid w:val="003047F8"/>
    <w:rsid w:val="00312A38"/>
    <w:rsid w:val="00323963"/>
    <w:rsid w:val="00326068"/>
    <w:rsid w:val="00335747"/>
    <w:rsid w:val="00351727"/>
    <w:rsid w:val="00351C49"/>
    <w:rsid w:val="0035494F"/>
    <w:rsid w:val="003863F4"/>
    <w:rsid w:val="003A1215"/>
    <w:rsid w:val="003D779A"/>
    <w:rsid w:val="003E76AD"/>
    <w:rsid w:val="00402E83"/>
    <w:rsid w:val="00414C13"/>
    <w:rsid w:val="00416BE1"/>
    <w:rsid w:val="00441D63"/>
    <w:rsid w:val="00457D34"/>
    <w:rsid w:val="00461C0F"/>
    <w:rsid w:val="004666CC"/>
    <w:rsid w:val="00483548"/>
    <w:rsid w:val="004A254D"/>
    <w:rsid w:val="004A7E6A"/>
    <w:rsid w:val="004B7F8C"/>
    <w:rsid w:val="004C4D00"/>
    <w:rsid w:val="004D3F42"/>
    <w:rsid w:val="004D530A"/>
    <w:rsid w:val="004F10FB"/>
    <w:rsid w:val="00522A4D"/>
    <w:rsid w:val="0052396D"/>
    <w:rsid w:val="00537CDB"/>
    <w:rsid w:val="005428FE"/>
    <w:rsid w:val="00542F6D"/>
    <w:rsid w:val="005922F1"/>
    <w:rsid w:val="005966B3"/>
    <w:rsid w:val="005976FE"/>
    <w:rsid w:val="00597D61"/>
    <w:rsid w:val="005A3057"/>
    <w:rsid w:val="005C233F"/>
    <w:rsid w:val="005F1F01"/>
    <w:rsid w:val="005F7283"/>
    <w:rsid w:val="005F7CEE"/>
    <w:rsid w:val="00603B37"/>
    <w:rsid w:val="0060752D"/>
    <w:rsid w:val="00612F56"/>
    <w:rsid w:val="00616386"/>
    <w:rsid w:val="00624C1E"/>
    <w:rsid w:val="00633AA1"/>
    <w:rsid w:val="00633BE2"/>
    <w:rsid w:val="0063546D"/>
    <w:rsid w:val="00635FB1"/>
    <w:rsid w:val="00637782"/>
    <w:rsid w:val="00675558"/>
    <w:rsid w:val="00681227"/>
    <w:rsid w:val="00683832"/>
    <w:rsid w:val="006B744A"/>
    <w:rsid w:val="006D02A7"/>
    <w:rsid w:val="006E0A8D"/>
    <w:rsid w:val="00724D1D"/>
    <w:rsid w:val="00754BE6"/>
    <w:rsid w:val="00774970"/>
    <w:rsid w:val="0078023B"/>
    <w:rsid w:val="0079050A"/>
    <w:rsid w:val="007A00CA"/>
    <w:rsid w:val="007A2225"/>
    <w:rsid w:val="007D0E90"/>
    <w:rsid w:val="007D75C5"/>
    <w:rsid w:val="007E35AB"/>
    <w:rsid w:val="007E68B3"/>
    <w:rsid w:val="007F31D8"/>
    <w:rsid w:val="00804D07"/>
    <w:rsid w:val="0082427E"/>
    <w:rsid w:val="00880FF6"/>
    <w:rsid w:val="00885089"/>
    <w:rsid w:val="00895850"/>
    <w:rsid w:val="008A6856"/>
    <w:rsid w:val="008C4B1A"/>
    <w:rsid w:val="008E7D2C"/>
    <w:rsid w:val="008F08B2"/>
    <w:rsid w:val="008F2847"/>
    <w:rsid w:val="008F4CDA"/>
    <w:rsid w:val="009054A2"/>
    <w:rsid w:val="009118F4"/>
    <w:rsid w:val="00914367"/>
    <w:rsid w:val="009424C0"/>
    <w:rsid w:val="009557FD"/>
    <w:rsid w:val="00960AEF"/>
    <w:rsid w:val="009639CC"/>
    <w:rsid w:val="00966AAD"/>
    <w:rsid w:val="00971733"/>
    <w:rsid w:val="00980108"/>
    <w:rsid w:val="009806E8"/>
    <w:rsid w:val="009B33D3"/>
    <w:rsid w:val="009D6723"/>
    <w:rsid w:val="00A02ABC"/>
    <w:rsid w:val="00A3080C"/>
    <w:rsid w:val="00A44595"/>
    <w:rsid w:val="00A65F4A"/>
    <w:rsid w:val="00A8580F"/>
    <w:rsid w:val="00A92982"/>
    <w:rsid w:val="00A9445A"/>
    <w:rsid w:val="00A95B5E"/>
    <w:rsid w:val="00AA2ADE"/>
    <w:rsid w:val="00B16F8B"/>
    <w:rsid w:val="00B179F8"/>
    <w:rsid w:val="00B202A4"/>
    <w:rsid w:val="00B242F1"/>
    <w:rsid w:val="00B40E85"/>
    <w:rsid w:val="00B74B00"/>
    <w:rsid w:val="00B80353"/>
    <w:rsid w:val="00BD2E11"/>
    <w:rsid w:val="00BF2DC9"/>
    <w:rsid w:val="00BF714F"/>
    <w:rsid w:val="00C02693"/>
    <w:rsid w:val="00C26EB3"/>
    <w:rsid w:val="00C32AEB"/>
    <w:rsid w:val="00C33731"/>
    <w:rsid w:val="00C3674A"/>
    <w:rsid w:val="00C37DE5"/>
    <w:rsid w:val="00C75883"/>
    <w:rsid w:val="00C764A9"/>
    <w:rsid w:val="00C8444E"/>
    <w:rsid w:val="00C8785A"/>
    <w:rsid w:val="00C91328"/>
    <w:rsid w:val="00CA7D0D"/>
    <w:rsid w:val="00CB226C"/>
    <w:rsid w:val="00D00043"/>
    <w:rsid w:val="00D01C8A"/>
    <w:rsid w:val="00D12E96"/>
    <w:rsid w:val="00D37F6C"/>
    <w:rsid w:val="00D433FD"/>
    <w:rsid w:val="00D66A10"/>
    <w:rsid w:val="00D7294E"/>
    <w:rsid w:val="00D84910"/>
    <w:rsid w:val="00D878A8"/>
    <w:rsid w:val="00DA08A2"/>
    <w:rsid w:val="00DA6BAB"/>
    <w:rsid w:val="00DB6F74"/>
    <w:rsid w:val="00DC1D9B"/>
    <w:rsid w:val="00DE38F3"/>
    <w:rsid w:val="00DF1BC9"/>
    <w:rsid w:val="00DF413E"/>
    <w:rsid w:val="00E052AF"/>
    <w:rsid w:val="00E07946"/>
    <w:rsid w:val="00E60429"/>
    <w:rsid w:val="00E61CAC"/>
    <w:rsid w:val="00EB5BF2"/>
    <w:rsid w:val="00F02923"/>
    <w:rsid w:val="00F07A79"/>
    <w:rsid w:val="00F20ADA"/>
    <w:rsid w:val="00F47FDC"/>
    <w:rsid w:val="00F62012"/>
    <w:rsid w:val="00F76CE7"/>
    <w:rsid w:val="00FA3F0F"/>
    <w:rsid w:val="00FB40DA"/>
    <w:rsid w:val="00FC0FAA"/>
    <w:rsid w:val="00FD6EFB"/>
    <w:rsid w:val="00FF4382"/>
    <w:rsid w:val="00FF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85B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A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37CD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70"/>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74970"/>
  </w:style>
  <w:style w:type="paragraph" w:styleId="Footer">
    <w:name w:val="footer"/>
    <w:basedOn w:val="Normal"/>
    <w:link w:val="FooterChar"/>
    <w:uiPriority w:val="99"/>
    <w:unhideWhenUsed/>
    <w:rsid w:val="00774970"/>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74970"/>
  </w:style>
  <w:style w:type="table" w:styleId="TableGrid">
    <w:name w:val="Table Grid"/>
    <w:basedOn w:val="TableNormal"/>
    <w:uiPriority w:val="39"/>
    <w:rsid w:val="0005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FC2"/>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F76CE7"/>
    <w:rPr>
      <w:color w:val="0563C1" w:themeColor="hyperlink"/>
      <w:u w:val="single"/>
    </w:rPr>
  </w:style>
  <w:style w:type="character" w:customStyle="1" w:styleId="Heading1Char">
    <w:name w:val="Heading 1 Char"/>
    <w:basedOn w:val="DefaultParagraphFont"/>
    <w:link w:val="Heading1"/>
    <w:uiPriority w:val="9"/>
    <w:rsid w:val="00537CD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3546D"/>
    <w:pPr>
      <w:spacing w:before="100" w:beforeAutospacing="1" w:after="100" w:afterAutospacing="1"/>
    </w:pPr>
  </w:style>
  <w:style w:type="character" w:styleId="FollowedHyperlink">
    <w:name w:val="FollowedHyperlink"/>
    <w:basedOn w:val="DefaultParagraphFont"/>
    <w:uiPriority w:val="99"/>
    <w:semiHidden/>
    <w:unhideWhenUsed/>
    <w:rsid w:val="005428FE"/>
    <w:rPr>
      <w:color w:val="954F72" w:themeColor="followedHyperlink"/>
      <w:u w:val="single"/>
    </w:rPr>
  </w:style>
  <w:style w:type="paragraph" w:styleId="FootnoteText">
    <w:name w:val="footnote text"/>
    <w:basedOn w:val="Normal"/>
    <w:link w:val="FootnoteTextChar"/>
    <w:uiPriority w:val="99"/>
    <w:unhideWhenUsed/>
    <w:rsid w:val="00AA2ADE"/>
    <w:rPr>
      <w:rFonts w:asciiTheme="minorHAnsi" w:hAnsiTheme="minorHAnsi" w:cstheme="minorBidi"/>
    </w:rPr>
  </w:style>
  <w:style w:type="character" w:customStyle="1" w:styleId="FootnoteTextChar">
    <w:name w:val="Footnote Text Char"/>
    <w:basedOn w:val="DefaultParagraphFont"/>
    <w:link w:val="FootnoteText"/>
    <w:uiPriority w:val="99"/>
    <w:rsid w:val="00AA2ADE"/>
    <w:rPr>
      <w:sz w:val="24"/>
      <w:szCs w:val="24"/>
    </w:rPr>
  </w:style>
  <w:style w:type="character" w:styleId="FootnoteReference">
    <w:name w:val="footnote reference"/>
    <w:basedOn w:val="DefaultParagraphFont"/>
    <w:uiPriority w:val="99"/>
    <w:unhideWhenUsed/>
    <w:rsid w:val="00AA2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6383">
      <w:bodyDiv w:val="1"/>
      <w:marLeft w:val="0"/>
      <w:marRight w:val="0"/>
      <w:marTop w:val="0"/>
      <w:marBottom w:val="0"/>
      <w:divBdr>
        <w:top w:val="none" w:sz="0" w:space="0" w:color="auto"/>
        <w:left w:val="none" w:sz="0" w:space="0" w:color="auto"/>
        <w:bottom w:val="none" w:sz="0" w:space="0" w:color="auto"/>
        <w:right w:val="none" w:sz="0" w:space="0" w:color="auto"/>
      </w:divBdr>
    </w:div>
    <w:div w:id="53817575">
      <w:bodyDiv w:val="1"/>
      <w:marLeft w:val="0"/>
      <w:marRight w:val="0"/>
      <w:marTop w:val="0"/>
      <w:marBottom w:val="0"/>
      <w:divBdr>
        <w:top w:val="none" w:sz="0" w:space="0" w:color="auto"/>
        <w:left w:val="none" w:sz="0" w:space="0" w:color="auto"/>
        <w:bottom w:val="none" w:sz="0" w:space="0" w:color="auto"/>
        <w:right w:val="none" w:sz="0" w:space="0" w:color="auto"/>
      </w:divBdr>
    </w:div>
    <w:div w:id="112286685">
      <w:bodyDiv w:val="1"/>
      <w:marLeft w:val="0"/>
      <w:marRight w:val="0"/>
      <w:marTop w:val="0"/>
      <w:marBottom w:val="0"/>
      <w:divBdr>
        <w:top w:val="none" w:sz="0" w:space="0" w:color="auto"/>
        <w:left w:val="none" w:sz="0" w:space="0" w:color="auto"/>
        <w:bottom w:val="none" w:sz="0" w:space="0" w:color="auto"/>
        <w:right w:val="none" w:sz="0" w:space="0" w:color="auto"/>
      </w:divBdr>
    </w:div>
    <w:div w:id="125585513">
      <w:bodyDiv w:val="1"/>
      <w:marLeft w:val="0"/>
      <w:marRight w:val="0"/>
      <w:marTop w:val="0"/>
      <w:marBottom w:val="0"/>
      <w:divBdr>
        <w:top w:val="none" w:sz="0" w:space="0" w:color="auto"/>
        <w:left w:val="none" w:sz="0" w:space="0" w:color="auto"/>
        <w:bottom w:val="none" w:sz="0" w:space="0" w:color="auto"/>
        <w:right w:val="none" w:sz="0" w:space="0" w:color="auto"/>
      </w:divBdr>
    </w:div>
    <w:div w:id="164175925">
      <w:bodyDiv w:val="1"/>
      <w:marLeft w:val="0"/>
      <w:marRight w:val="0"/>
      <w:marTop w:val="0"/>
      <w:marBottom w:val="0"/>
      <w:divBdr>
        <w:top w:val="none" w:sz="0" w:space="0" w:color="auto"/>
        <w:left w:val="none" w:sz="0" w:space="0" w:color="auto"/>
        <w:bottom w:val="none" w:sz="0" w:space="0" w:color="auto"/>
        <w:right w:val="none" w:sz="0" w:space="0" w:color="auto"/>
      </w:divBdr>
    </w:div>
    <w:div w:id="195655577">
      <w:bodyDiv w:val="1"/>
      <w:marLeft w:val="0"/>
      <w:marRight w:val="0"/>
      <w:marTop w:val="0"/>
      <w:marBottom w:val="0"/>
      <w:divBdr>
        <w:top w:val="none" w:sz="0" w:space="0" w:color="auto"/>
        <w:left w:val="none" w:sz="0" w:space="0" w:color="auto"/>
        <w:bottom w:val="none" w:sz="0" w:space="0" w:color="auto"/>
        <w:right w:val="none" w:sz="0" w:space="0" w:color="auto"/>
      </w:divBdr>
    </w:div>
    <w:div w:id="323582152">
      <w:bodyDiv w:val="1"/>
      <w:marLeft w:val="0"/>
      <w:marRight w:val="0"/>
      <w:marTop w:val="0"/>
      <w:marBottom w:val="0"/>
      <w:divBdr>
        <w:top w:val="none" w:sz="0" w:space="0" w:color="auto"/>
        <w:left w:val="none" w:sz="0" w:space="0" w:color="auto"/>
        <w:bottom w:val="none" w:sz="0" w:space="0" w:color="auto"/>
        <w:right w:val="none" w:sz="0" w:space="0" w:color="auto"/>
      </w:divBdr>
    </w:div>
    <w:div w:id="346293886">
      <w:bodyDiv w:val="1"/>
      <w:marLeft w:val="0"/>
      <w:marRight w:val="0"/>
      <w:marTop w:val="0"/>
      <w:marBottom w:val="0"/>
      <w:divBdr>
        <w:top w:val="none" w:sz="0" w:space="0" w:color="auto"/>
        <w:left w:val="none" w:sz="0" w:space="0" w:color="auto"/>
        <w:bottom w:val="none" w:sz="0" w:space="0" w:color="auto"/>
        <w:right w:val="none" w:sz="0" w:space="0" w:color="auto"/>
      </w:divBdr>
    </w:div>
    <w:div w:id="392437620">
      <w:bodyDiv w:val="1"/>
      <w:marLeft w:val="0"/>
      <w:marRight w:val="0"/>
      <w:marTop w:val="0"/>
      <w:marBottom w:val="0"/>
      <w:divBdr>
        <w:top w:val="none" w:sz="0" w:space="0" w:color="auto"/>
        <w:left w:val="none" w:sz="0" w:space="0" w:color="auto"/>
        <w:bottom w:val="none" w:sz="0" w:space="0" w:color="auto"/>
        <w:right w:val="none" w:sz="0" w:space="0" w:color="auto"/>
      </w:divBdr>
    </w:div>
    <w:div w:id="472523382">
      <w:bodyDiv w:val="1"/>
      <w:marLeft w:val="0"/>
      <w:marRight w:val="0"/>
      <w:marTop w:val="0"/>
      <w:marBottom w:val="0"/>
      <w:divBdr>
        <w:top w:val="none" w:sz="0" w:space="0" w:color="auto"/>
        <w:left w:val="none" w:sz="0" w:space="0" w:color="auto"/>
        <w:bottom w:val="none" w:sz="0" w:space="0" w:color="auto"/>
        <w:right w:val="none" w:sz="0" w:space="0" w:color="auto"/>
      </w:divBdr>
    </w:div>
    <w:div w:id="550963783">
      <w:bodyDiv w:val="1"/>
      <w:marLeft w:val="0"/>
      <w:marRight w:val="0"/>
      <w:marTop w:val="0"/>
      <w:marBottom w:val="0"/>
      <w:divBdr>
        <w:top w:val="none" w:sz="0" w:space="0" w:color="auto"/>
        <w:left w:val="none" w:sz="0" w:space="0" w:color="auto"/>
        <w:bottom w:val="none" w:sz="0" w:space="0" w:color="auto"/>
        <w:right w:val="none" w:sz="0" w:space="0" w:color="auto"/>
      </w:divBdr>
    </w:div>
    <w:div w:id="552160113">
      <w:bodyDiv w:val="1"/>
      <w:marLeft w:val="0"/>
      <w:marRight w:val="0"/>
      <w:marTop w:val="0"/>
      <w:marBottom w:val="0"/>
      <w:divBdr>
        <w:top w:val="none" w:sz="0" w:space="0" w:color="auto"/>
        <w:left w:val="none" w:sz="0" w:space="0" w:color="auto"/>
        <w:bottom w:val="none" w:sz="0" w:space="0" w:color="auto"/>
        <w:right w:val="none" w:sz="0" w:space="0" w:color="auto"/>
      </w:divBdr>
    </w:div>
    <w:div w:id="574239675">
      <w:bodyDiv w:val="1"/>
      <w:marLeft w:val="0"/>
      <w:marRight w:val="0"/>
      <w:marTop w:val="0"/>
      <w:marBottom w:val="0"/>
      <w:divBdr>
        <w:top w:val="none" w:sz="0" w:space="0" w:color="auto"/>
        <w:left w:val="none" w:sz="0" w:space="0" w:color="auto"/>
        <w:bottom w:val="none" w:sz="0" w:space="0" w:color="auto"/>
        <w:right w:val="none" w:sz="0" w:space="0" w:color="auto"/>
      </w:divBdr>
    </w:div>
    <w:div w:id="583344421">
      <w:bodyDiv w:val="1"/>
      <w:marLeft w:val="0"/>
      <w:marRight w:val="0"/>
      <w:marTop w:val="0"/>
      <w:marBottom w:val="0"/>
      <w:divBdr>
        <w:top w:val="none" w:sz="0" w:space="0" w:color="auto"/>
        <w:left w:val="none" w:sz="0" w:space="0" w:color="auto"/>
        <w:bottom w:val="none" w:sz="0" w:space="0" w:color="auto"/>
        <w:right w:val="none" w:sz="0" w:space="0" w:color="auto"/>
      </w:divBdr>
    </w:div>
    <w:div w:id="604769587">
      <w:bodyDiv w:val="1"/>
      <w:marLeft w:val="0"/>
      <w:marRight w:val="0"/>
      <w:marTop w:val="0"/>
      <w:marBottom w:val="0"/>
      <w:divBdr>
        <w:top w:val="none" w:sz="0" w:space="0" w:color="auto"/>
        <w:left w:val="none" w:sz="0" w:space="0" w:color="auto"/>
        <w:bottom w:val="none" w:sz="0" w:space="0" w:color="auto"/>
        <w:right w:val="none" w:sz="0" w:space="0" w:color="auto"/>
      </w:divBdr>
    </w:div>
    <w:div w:id="633683605">
      <w:bodyDiv w:val="1"/>
      <w:marLeft w:val="0"/>
      <w:marRight w:val="0"/>
      <w:marTop w:val="0"/>
      <w:marBottom w:val="0"/>
      <w:divBdr>
        <w:top w:val="none" w:sz="0" w:space="0" w:color="auto"/>
        <w:left w:val="none" w:sz="0" w:space="0" w:color="auto"/>
        <w:bottom w:val="none" w:sz="0" w:space="0" w:color="auto"/>
        <w:right w:val="none" w:sz="0" w:space="0" w:color="auto"/>
      </w:divBdr>
    </w:div>
    <w:div w:id="646789403">
      <w:bodyDiv w:val="1"/>
      <w:marLeft w:val="0"/>
      <w:marRight w:val="0"/>
      <w:marTop w:val="0"/>
      <w:marBottom w:val="0"/>
      <w:divBdr>
        <w:top w:val="none" w:sz="0" w:space="0" w:color="auto"/>
        <w:left w:val="none" w:sz="0" w:space="0" w:color="auto"/>
        <w:bottom w:val="none" w:sz="0" w:space="0" w:color="auto"/>
        <w:right w:val="none" w:sz="0" w:space="0" w:color="auto"/>
      </w:divBdr>
    </w:div>
    <w:div w:id="693111264">
      <w:bodyDiv w:val="1"/>
      <w:marLeft w:val="0"/>
      <w:marRight w:val="0"/>
      <w:marTop w:val="0"/>
      <w:marBottom w:val="0"/>
      <w:divBdr>
        <w:top w:val="none" w:sz="0" w:space="0" w:color="auto"/>
        <w:left w:val="none" w:sz="0" w:space="0" w:color="auto"/>
        <w:bottom w:val="none" w:sz="0" w:space="0" w:color="auto"/>
        <w:right w:val="none" w:sz="0" w:space="0" w:color="auto"/>
      </w:divBdr>
    </w:div>
    <w:div w:id="712266016">
      <w:bodyDiv w:val="1"/>
      <w:marLeft w:val="0"/>
      <w:marRight w:val="0"/>
      <w:marTop w:val="0"/>
      <w:marBottom w:val="0"/>
      <w:divBdr>
        <w:top w:val="none" w:sz="0" w:space="0" w:color="auto"/>
        <w:left w:val="none" w:sz="0" w:space="0" w:color="auto"/>
        <w:bottom w:val="none" w:sz="0" w:space="0" w:color="auto"/>
        <w:right w:val="none" w:sz="0" w:space="0" w:color="auto"/>
      </w:divBdr>
    </w:div>
    <w:div w:id="755592459">
      <w:bodyDiv w:val="1"/>
      <w:marLeft w:val="0"/>
      <w:marRight w:val="0"/>
      <w:marTop w:val="0"/>
      <w:marBottom w:val="0"/>
      <w:divBdr>
        <w:top w:val="none" w:sz="0" w:space="0" w:color="auto"/>
        <w:left w:val="none" w:sz="0" w:space="0" w:color="auto"/>
        <w:bottom w:val="none" w:sz="0" w:space="0" w:color="auto"/>
        <w:right w:val="none" w:sz="0" w:space="0" w:color="auto"/>
      </w:divBdr>
    </w:div>
    <w:div w:id="777604467">
      <w:bodyDiv w:val="1"/>
      <w:marLeft w:val="0"/>
      <w:marRight w:val="0"/>
      <w:marTop w:val="0"/>
      <w:marBottom w:val="0"/>
      <w:divBdr>
        <w:top w:val="none" w:sz="0" w:space="0" w:color="auto"/>
        <w:left w:val="none" w:sz="0" w:space="0" w:color="auto"/>
        <w:bottom w:val="none" w:sz="0" w:space="0" w:color="auto"/>
        <w:right w:val="none" w:sz="0" w:space="0" w:color="auto"/>
      </w:divBdr>
    </w:div>
    <w:div w:id="858084145">
      <w:bodyDiv w:val="1"/>
      <w:marLeft w:val="0"/>
      <w:marRight w:val="0"/>
      <w:marTop w:val="0"/>
      <w:marBottom w:val="0"/>
      <w:divBdr>
        <w:top w:val="none" w:sz="0" w:space="0" w:color="auto"/>
        <w:left w:val="none" w:sz="0" w:space="0" w:color="auto"/>
        <w:bottom w:val="none" w:sz="0" w:space="0" w:color="auto"/>
        <w:right w:val="none" w:sz="0" w:space="0" w:color="auto"/>
      </w:divBdr>
    </w:div>
    <w:div w:id="871455466">
      <w:bodyDiv w:val="1"/>
      <w:marLeft w:val="0"/>
      <w:marRight w:val="0"/>
      <w:marTop w:val="0"/>
      <w:marBottom w:val="0"/>
      <w:divBdr>
        <w:top w:val="none" w:sz="0" w:space="0" w:color="auto"/>
        <w:left w:val="none" w:sz="0" w:space="0" w:color="auto"/>
        <w:bottom w:val="none" w:sz="0" w:space="0" w:color="auto"/>
        <w:right w:val="none" w:sz="0" w:space="0" w:color="auto"/>
      </w:divBdr>
    </w:div>
    <w:div w:id="968054172">
      <w:bodyDiv w:val="1"/>
      <w:marLeft w:val="0"/>
      <w:marRight w:val="0"/>
      <w:marTop w:val="0"/>
      <w:marBottom w:val="0"/>
      <w:divBdr>
        <w:top w:val="none" w:sz="0" w:space="0" w:color="auto"/>
        <w:left w:val="none" w:sz="0" w:space="0" w:color="auto"/>
        <w:bottom w:val="none" w:sz="0" w:space="0" w:color="auto"/>
        <w:right w:val="none" w:sz="0" w:space="0" w:color="auto"/>
      </w:divBdr>
    </w:div>
    <w:div w:id="974067290">
      <w:bodyDiv w:val="1"/>
      <w:marLeft w:val="0"/>
      <w:marRight w:val="0"/>
      <w:marTop w:val="0"/>
      <w:marBottom w:val="0"/>
      <w:divBdr>
        <w:top w:val="none" w:sz="0" w:space="0" w:color="auto"/>
        <w:left w:val="none" w:sz="0" w:space="0" w:color="auto"/>
        <w:bottom w:val="none" w:sz="0" w:space="0" w:color="auto"/>
        <w:right w:val="none" w:sz="0" w:space="0" w:color="auto"/>
      </w:divBdr>
    </w:div>
    <w:div w:id="1085419469">
      <w:bodyDiv w:val="1"/>
      <w:marLeft w:val="0"/>
      <w:marRight w:val="0"/>
      <w:marTop w:val="0"/>
      <w:marBottom w:val="0"/>
      <w:divBdr>
        <w:top w:val="none" w:sz="0" w:space="0" w:color="auto"/>
        <w:left w:val="none" w:sz="0" w:space="0" w:color="auto"/>
        <w:bottom w:val="none" w:sz="0" w:space="0" w:color="auto"/>
        <w:right w:val="none" w:sz="0" w:space="0" w:color="auto"/>
      </w:divBdr>
    </w:div>
    <w:div w:id="1130511412">
      <w:bodyDiv w:val="1"/>
      <w:marLeft w:val="0"/>
      <w:marRight w:val="0"/>
      <w:marTop w:val="0"/>
      <w:marBottom w:val="0"/>
      <w:divBdr>
        <w:top w:val="none" w:sz="0" w:space="0" w:color="auto"/>
        <w:left w:val="none" w:sz="0" w:space="0" w:color="auto"/>
        <w:bottom w:val="none" w:sz="0" w:space="0" w:color="auto"/>
        <w:right w:val="none" w:sz="0" w:space="0" w:color="auto"/>
      </w:divBdr>
    </w:div>
    <w:div w:id="1146823538">
      <w:bodyDiv w:val="1"/>
      <w:marLeft w:val="0"/>
      <w:marRight w:val="0"/>
      <w:marTop w:val="0"/>
      <w:marBottom w:val="0"/>
      <w:divBdr>
        <w:top w:val="none" w:sz="0" w:space="0" w:color="auto"/>
        <w:left w:val="none" w:sz="0" w:space="0" w:color="auto"/>
        <w:bottom w:val="none" w:sz="0" w:space="0" w:color="auto"/>
        <w:right w:val="none" w:sz="0" w:space="0" w:color="auto"/>
      </w:divBdr>
    </w:div>
    <w:div w:id="1224638030">
      <w:bodyDiv w:val="1"/>
      <w:marLeft w:val="0"/>
      <w:marRight w:val="0"/>
      <w:marTop w:val="0"/>
      <w:marBottom w:val="0"/>
      <w:divBdr>
        <w:top w:val="none" w:sz="0" w:space="0" w:color="auto"/>
        <w:left w:val="none" w:sz="0" w:space="0" w:color="auto"/>
        <w:bottom w:val="none" w:sz="0" w:space="0" w:color="auto"/>
        <w:right w:val="none" w:sz="0" w:space="0" w:color="auto"/>
      </w:divBdr>
    </w:div>
    <w:div w:id="1249847552">
      <w:bodyDiv w:val="1"/>
      <w:marLeft w:val="0"/>
      <w:marRight w:val="0"/>
      <w:marTop w:val="0"/>
      <w:marBottom w:val="0"/>
      <w:divBdr>
        <w:top w:val="none" w:sz="0" w:space="0" w:color="auto"/>
        <w:left w:val="none" w:sz="0" w:space="0" w:color="auto"/>
        <w:bottom w:val="none" w:sz="0" w:space="0" w:color="auto"/>
        <w:right w:val="none" w:sz="0" w:space="0" w:color="auto"/>
      </w:divBdr>
    </w:div>
    <w:div w:id="1311209477">
      <w:bodyDiv w:val="1"/>
      <w:marLeft w:val="0"/>
      <w:marRight w:val="0"/>
      <w:marTop w:val="0"/>
      <w:marBottom w:val="0"/>
      <w:divBdr>
        <w:top w:val="none" w:sz="0" w:space="0" w:color="auto"/>
        <w:left w:val="none" w:sz="0" w:space="0" w:color="auto"/>
        <w:bottom w:val="none" w:sz="0" w:space="0" w:color="auto"/>
        <w:right w:val="none" w:sz="0" w:space="0" w:color="auto"/>
      </w:divBdr>
    </w:div>
    <w:div w:id="1434862103">
      <w:bodyDiv w:val="1"/>
      <w:marLeft w:val="0"/>
      <w:marRight w:val="0"/>
      <w:marTop w:val="0"/>
      <w:marBottom w:val="0"/>
      <w:divBdr>
        <w:top w:val="none" w:sz="0" w:space="0" w:color="auto"/>
        <w:left w:val="none" w:sz="0" w:space="0" w:color="auto"/>
        <w:bottom w:val="none" w:sz="0" w:space="0" w:color="auto"/>
        <w:right w:val="none" w:sz="0" w:space="0" w:color="auto"/>
      </w:divBdr>
    </w:div>
    <w:div w:id="1442719572">
      <w:bodyDiv w:val="1"/>
      <w:marLeft w:val="0"/>
      <w:marRight w:val="0"/>
      <w:marTop w:val="0"/>
      <w:marBottom w:val="0"/>
      <w:divBdr>
        <w:top w:val="none" w:sz="0" w:space="0" w:color="auto"/>
        <w:left w:val="none" w:sz="0" w:space="0" w:color="auto"/>
        <w:bottom w:val="none" w:sz="0" w:space="0" w:color="auto"/>
        <w:right w:val="none" w:sz="0" w:space="0" w:color="auto"/>
      </w:divBdr>
    </w:div>
    <w:div w:id="1470201398">
      <w:bodyDiv w:val="1"/>
      <w:marLeft w:val="0"/>
      <w:marRight w:val="0"/>
      <w:marTop w:val="0"/>
      <w:marBottom w:val="0"/>
      <w:divBdr>
        <w:top w:val="none" w:sz="0" w:space="0" w:color="auto"/>
        <w:left w:val="none" w:sz="0" w:space="0" w:color="auto"/>
        <w:bottom w:val="none" w:sz="0" w:space="0" w:color="auto"/>
        <w:right w:val="none" w:sz="0" w:space="0" w:color="auto"/>
      </w:divBdr>
    </w:div>
    <w:div w:id="1476797789">
      <w:bodyDiv w:val="1"/>
      <w:marLeft w:val="0"/>
      <w:marRight w:val="0"/>
      <w:marTop w:val="0"/>
      <w:marBottom w:val="0"/>
      <w:divBdr>
        <w:top w:val="none" w:sz="0" w:space="0" w:color="auto"/>
        <w:left w:val="none" w:sz="0" w:space="0" w:color="auto"/>
        <w:bottom w:val="none" w:sz="0" w:space="0" w:color="auto"/>
        <w:right w:val="none" w:sz="0" w:space="0" w:color="auto"/>
      </w:divBdr>
    </w:div>
    <w:div w:id="1497573157">
      <w:bodyDiv w:val="1"/>
      <w:marLeft w:val="0"/>
      <w:marRight w:val="0"/>
      <w:marTop w:val="0"/>
      <w:marBottom w:val="0"/>
      <w:divBdr>
        <w:top w:val="none" w:sz="0" w:space="0" w:color="auto"/>
        <w:left w:val="none" w:sz="0" w:space="0" w:color="auto"/>
        <w:bottom w:val="none" w:sz="0" w:space="0" w:color="auto"/>
        <w:right w:val="none" w:sz="0" w:space="0" w:color="auto"/>
      </w:divBdr>
    </w:div>
    <w:div w:id="1534920905">
      <w:bodyDiv w:val="1"/>
      <w:marLeft w:val="0"/>
      <w:marRight w:val="0"/>
      <w:marTop w:val="0"/>
      <w:marBottom w:val="0"/>
      <w:divBdr>
        <w:top w:val="none" w:sz="0" w:space="0" w:color="auto"/>
        <w:left w:val="none" w:sz="0" w:space="0" w:color="auto"/>
        <w:bottom w:val="none" w:sz="0" w:space="0" w:color="auto"/>
        <w:right w:val="none" w:sz="0" w:space="0" w:color="auto"/>
      </w:divBdr>
    </w:div>
    <w:div w:id="1611158275">
      <w:bodyDiv w:val="1"/>
      <w:marLeft w:val="0"/>
      <w:marRight w:val="0"/>
      <w:marTop w:val="0"/>
      <w:marBottom w:val="0"/>
      <w:divBdr>
        <w:top w:val="none" w:sz="0" w:space="0" w:color="auto"/>
        <w:left w:val="none" w:sz="0" w:space="0" w:color="auto"/>
        <w:bottom w:val="none" w:sz="0" w:space="0" w:color="auto"/>
        <w:right w:val="none" w:sz="0" w:space="0" w:color="auto"/>
      </w:divBdr>
    </w:div>
    <w:div w:id="1616477743">
      <w:bodyDiv w:val="1"/>
      <w:marLeft w:val="0"/>
      <w:marRight w:val="0"/>
      <w:marTop w:val="0"/>
      <w:marBottom w:val="0"/>
      <w:divBdr>
        <w:top w:val="none" w:sz="0" w:space="0" w:color="auto"/>
        <w:left w:val="none" w:sz="0" w:space="0" w:color="auto"/>
        <w:bottom w:val="none" w:sz="0" w:space="0" w:color="auto"/>
        <w:right w:val="none" w:sz="0" w:space="0" w:color="auto"/>
      </w:divBdr>
    </w:div>
    <w:div w:id="1681009129">
      <w:bodyDiv w:val="1"/>
      <w:marLeft w:val="0"/>
      <w:marRight w:val="0"/>
      <w:marTop w:val="0"/>
      <w:marBottom w:val="0"/>
      <w:divBdr>
        <w:top w:val="none" w:sz="0" w:space="0" w:color="auto"/>
        <w:left w:val="none" w:sz="0" w:space="0" w:color="auto"/>
        <w:bottom w:val="none" w:sz="0" w:space="0" w:color="auto"/>
        <w:right w:val="none" w:sz="0" w:space="0" w:color="auto"/>
      </w:divBdr>
    </w:div>
    <w:div w:id="1682003224">
      <w:bodyDiv w:val="1"/>
      <w:marLeft w:val="0"/>
      <w:marRight w:val="0"/>
      <w:marTop w:val="0"/>
      <w:marBottom w:val="0"/>
      <w:divBdr>
        <w:top w:val="none" w:sz="0" w:space="0" w:color="auto"/>
        <w:left w:val="none" w:sz="0" w:space="0" w:color="auto"/>
        <w:bottom w:val="none" w:sz="0" w:space="0" w:color="auto"/>
        <w:right w:val="none" w:sz="0" w:space="0" w:color="auto"/>
      </w:divBdr>
    </w:div>
    <w:div w:id="1748768218">
      <w:bodyDiv w:val="1"/>
      <w:marLeft w:val="0"/>
      <w:marRight w:val="0"/>
      <w:marTop w:val="0"/>
      <w:marBottom w:val="0"/>
      <w:divBdr>
        <w:top w:val="none" w:sz="0" w:space="0" w:color="auto"/>
        <w:left w:val="none" w:sz="0" w:space="0" w:color="auto"/>
        <w:bottom w:val="none" w:sz="0" w:space="0" w:color="auto"/>
        <w:right w:val="none" w:sz="0" w:space="0" w:color="auto"/>
      </w:divBdr>
    </w:div>
    <w:div w:id="1755591983">
      <w:bodyDiv w:val="1"/>
      <w:marLeft w:val="0"/>
      <w:marRight w:val="0"/>
      <w:marTop w:val="0"/>
      <w:marBottom w:val="0"/>
      <w:divBdr>
        <w:top w:val="none" w:sz="0" w:space="0" w:color="auto"/>
        <w:left w:val="none" w:sz="0" w:space="0" w:color="auto"/>
        <w:bottom w:val="none" w:sz="0" w:space="0" w:color="auto"/>
        <w:right w:val="none" w:sz="0" w:space="0" w:color="auto"/>
      </w:divBdr>
    </w:div>
    <w:div w:id="1916552200">
      <w:bodyDiv w:val="1"/>
      <w:marLeft w:val="0"/>
      <w:marRight w:val="0"/>
      <w:marTop w:val="0"/>
      <w:marBottom w:val="0"/>
      <w:divBdr>
        <w:top w:val="none" w:sz="0" w:space="0" w:color="auto"/>
        <w:left w:val="none" w:sz="0" w:space="0" w:color="auto"/>
        <w:bottom w:val="none" w:sz="0" w:space="0" w:color="auto"/>
        <w:right w:val="none" w:sz="0" w:space="0" w:color="auto"/>
      </w:divBdr>
    </w:div>
    <w:div w:id="1942688956">
      <w:bodyDiv w:val="1"/>
      <w:marLeft w:val="0"/>
      <w:marRight w:val="0"/>
      <w:marTop w:val="0"/>
      <w:marBottom w:val="0"/>
      <w:divBdr>
        <w:top w:val="none" w:sz="0" w:space="0" w:color="auto"/>
        <w:left w:val="none" w:sz="0" w:space="0" w:color="auto"/>
        <w:bottom w:val="none" w:sz="0" w:space="0" w:color="auto"/>
        <w:right w:val="none" w:sz="0" w:space="0" w:color="auto"/>
      </w:divBdr>
    </w:div>
    <w:div w:id="1968777659">
      <w:bodyDiv w:val="1"/>
      <w:marLeft w:val="0"/>
      <w:marRight w:val="0"/>
      <w:marTop w:val="0"/>
      <w:marBottom w:val="0"/>
      <w:divBdr>
        <w:top w:val="none" w:sz="0" w:space="0" w:color="auto"/>
        <w:left w:val="none" w:sz="0" w:space="0" w:color="auto"/>
        <w:bottom w:val="none" w:sz="0" w:space="0" w:color="auto"/>
        <w:right w:val="none" w:sz="0" w:space="0" w:color="auto"/>
      </w:divBdr>
    </w:div>
    <w:div w:id="2021929997">
      <w:bodyDiv w:val="1"/>
      <w:marLeft w:val="0"/>
      <w:marRight w:val="0"/>
      <w:marTop w:val="0"/>
      <w:marBottom w:val="0"/>
      <w:divBdr>
        <w:top w:val="none" w:sz="0" w:space="0" w:color="auto"/>
        <w:left w:val="none" w:sz="0" w:space="0" w:color="auto"/>
        <w:bottom w:val="none" w:sz="0" w:space="0" w:color="auto"/>
        <w:right w:val="none" w:sz="0" w:space="0" w:color="auto"/>
      </w:divBdr>
    </w:div>
    <w:div w:id="2022705692">
      <w:bodyDiv w:val="1"/>
      <w:marLeft w:val="0"/>
      <w:marRight w:val="0"/>
      <w:marTop w:val="0"/>
      <w:marBottom w:val="0"/>
      <w:divBdr>
        <w:top w:val="none" w:sz="0" w:space="0" w:color="auto"/>
        <w:left w:val="none" w:sz="0" w:space="0" w:color="auto"/>
        <w:bottom w:val="none" w:sz="0" w:space="0" w:color="auto"/>
        <w:right w:val="none" w:sz="0" w:space="0" w:color="auto"/>
      </w:divBdr>
    </w:div>
    <w:div w:id="2078286159">
      <w:bodyDiv w:val="1"/>
      <w:marLeft w:val="0"/>
      <w:marRight w:val="0"/>
      <w:marTop w:val="0"/>
      <w:marBottom w:val="0"/>
      <w:divBdr>
        <w:top w:val="none" w:sz="0" w:space="0" w:color="auto"/>
        <w:left w:val="none" w:sz="0" w:space="0" w:color="auto"/>
        <w:bottom w:val="none" w:sz="0" w:space="0" w:color="auto"/>
        <w:right w:val="none" w:sz="0" w:space="0" w:color="auto"/>
      </w:divBdr>
    </w:div>
    <w:div w:id="2101636253">
      <w:bodyDiv w:val="1"/>
      <w:marLeft w:val="0"/>
      <w:marRight w:val="0"/>
      <w:marTop w:val="0"/>
      <w:marBottom w:val="0"/>
      <w:divBdr>
        <w:top w:val="none" w:sz="0" w:space="0" w:color="auto"/>
        <w:left w:val="none" w:sz="0" w:space="0" w:color="auto"/>
        <w:bottom w:val="none" w:sz="0" w:space="0" w:color="auto"/>
        <w:right w:val="none" w:sz="0" w:space="0" w:color="auto"/>
      </w:divBdr>
    </w:div>
    <w:div w:id="21424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c.org/resolutions/internet-and-career-center-access" TargetMode="External"/><Relationship Id="rId13" Type="http://schemas.openxmlformats.org/officeDocument/2006/relationships/hyperlink" Target="http://www.asccc.org/resolutions/statewide-curriculum-coordin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cc.org/resolutions/contract-edu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cc.org/resolutions/recognition-skills-builder-completion" TargetMode="External"/><Relationship Id="rId5" Type="http://schemas.openxmlformats.org/officeDocument/2006/relationships/webSettings" Target="webSettings.xml"/><Relationship Id="rId15" Type="http://schemas.openxmlformats.org/officeDocument/2006/relationships/hyperlink" Target="http://www.asccc.org/resolutions/future-teachers-development" TargetMode="External"/><Relationship Id="rId10" Type="http://schemas.openxmlformats.org/officeDocument/2006/relationships/hyperlink" Target="http://www.asccc.org/resolutions/work-based-learning-support" TargetMode="External"/><Relationship Id="rId4" Type="http://schemas.openxmlformats.org/officeDocument/2006/relationships/settings" Target="settings.xml"/><Relationship Id="rId9" Type="http://schemas.openxmlformats.org/officeDocument/2006/relationships/hyperlink" Target="http://www.statewidepathways.org/" TargetMode="External"/><Relationship Id="rId14" Type="http://schemas.openxmlformats.org/officeDocument/2006/relationships/hyperlink" Target="http://www.asccc.org/resolutions/internship-more-community-college-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8BF69A-2DE7-4D4D-93F8-0899866C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5942</Words>
  <Characters>33872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Sandra Sanchez</cp:lastModifiedBy>
  <cp:revision>2</cp:revision>
  <dcterms:created xsi:type="dcterms:W3CDTF">2015-12-31T16:36:00Z</dcterms:created>
  <dcterms:modified xsi:type="dcterms:W3CDTF">2015-12-31T16:36:00Z</dcterms:modified>
</cp:coreProperties>
</file>