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DF7C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Research Plan for AB705 Outcomes</w:t>
      </w:r>
    </w:p>
    <w:p w14:paraId="0B8E5FD5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color w:val="333333"/>
          <w:bdr w:val="none" w:sz="0" w:space="0" w:color="auto" w:frame="1"/>
        </w:rPr>
        <w:t>EPIE has developed a comprehensive evaluation plan to analyze the impacts of AB705 implementation, including a detailed examination of course drop, completion, survey, through-put, and tutoring data. The analyses listed below are planned and may be as needed.</w:t>
      </w:r>
    </w:p>
    <w:p w14:paraId="6FFF224D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color w:val="333333"/>
        </w:rPr>
        <w:t> </w:t>
      </w:r>
    </w:p>
    <w:p w14:paraId="29D3DF75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Drop (W) Rate</w:t>
      </w:r>
    </w:p>
    <w:p w14:paraId="40304C2B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 xml:space="preserve">Analyses and </w:t>
      </w:r>
      <w:proofErr w:type="spellStart"/>
      <w:r>
        <w:rPr>
          <w:b/>
          <w:bCs/>
          <w:color w:val="333333"/>
          <w:bdr w:val="none" w:sz="0" w:space="0" w:color="auto" w:frame="1"/>
        </w:rPr>
        <w:t>Disaggregations</w:t>
      </w:r>
      <w:proofErr w:type="spellEnd"/>
    </w:p>
    <w:p w14:paraId="17E6DE19" w14:textId="77777777" w:rsidR="00F573A6" w:rsidRDefault="00F573A6" w:rsidP="00F573A6">
      <w:pPr>
        <w:numPr>
          <w:ilvl w:val="0"/>
          <w:numId w:val="1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College</w:t>
      </w:r>
    </w:p>
    <w:p w14:paraId="0EE31BB5" w14:textId="77777777" w:rsidR="00F573A6" w:rsidRDefault="00F573A6" w:rsidP="00F573A6">
      <w:pPr>
        <w:numPr>
          <w:ilvl w:val="0"/>
          <w:numId w:val="1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Student demographics/characteristics</w:t>
      </w:r>
    </w:p>
    <w:p w14:paraId="39AAB231" w14:textId="77777777" w:rsidR="00F573A6" w:rsidRDefault="00F573A6" w:rsidP="00F573A6">
      <w:pPr>
        <w:numPr>
          <w:ilvl w:val="0"/>
          <w:numId w:val="1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Course</w:t>
      </w:r>
    </w:p>
    <w:p w14:paraId="6482C78F" w14:textId="77777777" w:rsidR="00F573A6" w:rsidRDefault="00F573A6" w:rsidP="00F573A6">
      <w:pPr>
        <w:shd w:val="clear" w:color="auto" w:fill="FFFFFF"/>
        <w:textAlignment w:val="top"/>
        <w:rPr>
          <w:b/>
          <w:bCs/>
          <w:color w:val="333333"/>
          <w:bdr w:val="none" w:sz="0" w:space="0" w:color="auto" w:frame="1"/>
        </w:rPr>
      </w:pPr>
    </w:p>
    <w:p w14:paraId="082E96EA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Successful Course Completion</w:t>
      </w:r>
    </w:p>
    <w:p w14:paraId="7E6039F0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 xml:space="preserve">Analyses and </w:t>
      </w:r>
      <w:proofErr w:type="spellStart"/>
      <w:r>
        <w:rPr>
          <w:b/>
          <w:bCs/>
          <w:color w:val="333333"/>
          <w:bdr w:val="none" w:sz="0" w:space="0" w:color="auto" w:frame="1"/>
        </w:rPr>
        <w:t>Disaggregations</w:t>
      </w:r>
      <w:proofErr w:type="spellEnd"/>
    </w:p>
    <w:p w14:paraId="4C9BAF76" w14:textId="77777777" w:rsidR="00F573A6" w:rsidRDefault="00F573A6" w:rsidP="00F573A6">
      <w:pPr>
        <w:numPr>
          <w:ilvl w:val="0"/>
          <w:numId w:val="2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College</w:t>
      </w:r>
    </w:p>
    <w:p w14:paraId="0BA724B3" w14:textId="77777777" w:rsidR="00F573A6" w:rsidRDefault="00F573A6" w:rsidP="00F573A6">
      <w:pPr>
        <w:numPr>
          <w:ilvl w:val="0"/>
          <w:numId w:val="2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Student demographics/characteristics</w:t>
      </w:r>
    </w:p>
    <w:p w14:paraId="2637B0E9" w14:textId="77777777" w:rsidR="00F573A6" w:rsidRDefault="00F573A6" w:rsidP="00F573A6">
      <w:pPr>
        <w:numPr>
          <w:ilvl w:val="0"/>
          <w:numId w:val="2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Course (including support courses)</w:t>
      </w:r>
    </w:p>
    <w:p w14:paraId="418A91DE" w14:textId="77777777" w:rsidR="00F573A6" w:rsidRDefault="00F573A6" w:rsidP="00F573A6">
      <w:pPr>
        <w:numPr>
          <w:ilvl w:val="0"/>
          <w:numId w:val="2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Placement [new students vs students continuing in sequence (may have taken remedial math or English); high school GPA band]</w:t>
      </w:r>
    </w:p>
    <w:p w14:paraId="7C0AC677" w14:textId="77777777" w:rsidR="00F573A6" w:rsidRDefault="00F573A6" w:rsidP="00F573A6">
      <w:pPr>
        <w:numPr>
          <w:ilvl w:val="0"/>
          <w:numId w:val="2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Grade distribution: D and F grades vs W </w:t>
      </w:r>
    </w:p>
    <w:p w14:paraId="446CB4BF" w14:textId="77777777" w:rsidR="00F573A6" w:rsidRDefault="00F573A6" w:rsidP="00F573A6">
      <w:pPr>
        <w:numPr>
          <w:ilvl w:val="0"/>
          <w:numId w:val="2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Program of study [Award plan (AA, ADT, Certificate</w:t>
      </w:r>
      <w:proofErr w:type="gramStart"/>
      <w:r>
        <w:rPr>
          <w:rFonts w:eastAsia="Times New Roman"/>
          <w:color w:val="333333"/>
          <w:bdr w:val="none" w:sz="0" w:space="0" w:color="auto" w:frame="1"/>
        </w:rPr>
        <w:t>);  STEM</w:t>
      </w:r>
      <w:proofErr w:type="gramEnd"/>
      <w:r>
        <w:rPr>
          <w:rFonts w:eastAsia="Times New Roman"/>
          <w:color w:val="333333"/>
          <w:bdr w:val="none" w:sz="0" w:space="0" w:color="auto" w:frame="1"/>
        </w:rPr>
        <w:t xml:space="preserve"> vs Non-STEM program]</w:t>
      </w:r>
    </w:p>
    <w:p w14:paraId="195EE46C" w14:textId="77777777" w:rsidR="00F573A6" w:rsidRDefault="00F573A6" w:rsidP="00F573A6">
      <w:pPr>
        <w:shd w:val="clear" w:color="auto" w:fill="FFFFFF"/>
        <w:textAlignment w:val="top"/>
        <w:rPr>
          <w:b/>
          <w:bCs/>
          <w:color w:val="333333"/>
          <w:bdr w:val="none" w:sz="0" w:space="0" w:color="auto" w:frame="1"/>
        </w:rPr>
      </w:pPr>
    </w:p>
    <w:p w14:paraId="686DBF53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AB705 Student Drop Survey</w:t>
      </w:r>
    </w:p>
    <w:p w14:paraId="5551C6EA" w14:textId="77777777" w:rsidR="00F573A6" w:rsidRDefault="00F573A6" w:rsidP="00F573A6">
      <w:pPr>
        <w:numPr>
          <w:ilvl w:val="0"/>
          <w:numId w:val="3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 xml:space="preserve">Analyses and </w:t>
      </w:r>
      <w:proofErr w:type="spellStart"/>
      <w:r>
        <w:rPr>
          <w:rFonts w:eastAsia="Times New Roman"/>
          <w:color w:val="333333"/>
          <w:bdr w:val="none" w:sz="0" w:space="0" w:color="auto" w:frame="1"/>
        </w:rPr>
        <w:t>disaggregations</w:t>
      </w:r>
      <w:proofErr w:type="spellEnd"/>
      <w:r>
        <w:rPr>
          <w:rFonts w:eastAsia="Times New Roman"/>
          <w:color w:val="333333"/>
          <w:bdr w:val="none" w:sz="0" w:space="0" w:color="auto" w:frame="1"/>
        </w:rPr>
        <w:t> by college, course, student demogra</w:t>
      </w:r>
      <w:r w:rsidR="00204EA6">
        <w:rPr>
          <w:rFonts w:eastAsia="Times New Roman"/>
          <w:color w:val="333333"/>
          <w:bdr w:val="none" w:sz="0" w:space="0" w:color="auto" w:frame="1"/>
        </w:rPr>
        <w:t>p</w:t>
      </w:r>
      <w:r>
        <w:rPr>
          <w:rFonts w:eastAsia="Times New Roman"/>
          <w:color w:val="333333"/>
          <w:bdr w:val="none" w:sz="0" w:space="0" w:color="auto" w:frame="1"/>
        </w:rPr>
        <w:t>hics/characteristics</w:t>
      </w:r>
    </w:p>
    <w:p w14:paraId="3D48F133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</w:p>
    <w:p w14:paraId="325A0479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Tutoring Utilization and Impacts</w:t>
      </w:r>
    </w:p>
    <w:p w14:paraId="426A72B8" w14:textId="77777777" w:rsidR="00F573A6" w:rsidRDefault="00F573A6" w:rsidP="00F573A6">
      <w:pPr>
        <w:numPr>
          <w:ilvl w:val="0"/>
          <w:numId w:val="4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Net Tutor Utilization</w:t>
      </w:r>
    </w:p>
    <w:p w14:paraId="08BFD1BE" w14:textId="77777777" w:rsidR="00F573A6" w:rsidRDefault="00F573A6" w:rsidP="00F573A6">
      <w:pPr>
        <w:numPr>
          <w:ilvl w:val="0"/>
          <w:numId w:val="4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 xml:space="preserve">Impact of tutoring usage on math and English outcomes [including </w:t>
      </w:r>
      <w:proofErr w:type="spellStart"/>
      <w:r>
        <w:rPr>
          <w:rFonts w:eastAsia="Times New Roman"/>
          <w:color w:val="333333"/>
          <w:bdr w:val="none" w:sz="0" w:space="0" w:color="auto" w:frame="1"/>
        </w:rPr>
        <w:t>NetTutor</w:t>
      </w:r>
      <w:proofErr w:type="spellEnd"/>
      <w:r>
        <w:rPr>
          <w:rFonts w:eastAsia="Times New Roman"/>
          <w:color w:val="333333"/>
          <w:bdr w:val="none" w:sz="0" w:space="0" w:color="auto" w:frame="1"/>
        </w:rPr>
        <w:t>, embedded and/or tutoring center on course completion (</w:t>
      </w:r>
      <w:proofErr w:type="spellStart"/>
      <w:r>
        <w:rPr>
          <w:rFonts w:eastAsia="Times New Roman"/>
          <w:color w:val="333333"/>
          <w:bdr w:val="none" w:sz="0" w:space="0" w:color="auto" w:frame="1"/>
        </w:rPr>
        <w:t>disaggregations</w:t>
      </w:r>
      <w:proofErr w:type="spellEnd"/>
      <w:r>
        <w:rPr>
          <w:rFonts w:eastAsia="Times New Roman"/>
          <w:color w:val="333333"/>
          <w:bdr w:val="none" w:sz="0" w:space="0" w:color="auto" w:frame="1"/>
        </w:rPr>
        <w:t xml:space="preserve"> by college, course, student demogra</w:t>
      </w:r>
      <w:r w:rsidR="00204EA6">
        <w:rPr>
          <w:rFonts w:eastAsia="Times New Roman"/>
          <w:color w:val="333333"/>
          <w:bdr w:val="none" w:sz="0" w:space="0" w:color="auto" w:frame="1"/>
        </w:rPr>
        <w:t>p</w:t>
      </w:r>
      <w:r>
        <w:rPr>
          <w:rFonts w:eastAsia="Times New Roman"/>
          <w:color w:val="333333"/>
          <w:bdr w:val="none" w:sz="0" w:space="0" w:color="auto" w:frame="1"/>
        </w:rPr>
        <w:t>hics/characteristics)]</w:t>
      </w:r>
    </w:p>
    <w:p w14:paraId="41DE11C8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color w:val="333333"/>
        </w:rPr>
        <w:t> </w:t>
      </w:r>
    </w:p>
    <w:p w14:paraId="7F5D027D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Student Through-Put (Completion of Transfer Level Math and English) </w:t>
      </w:r>
    </w:p>
    <w:p w14:paraId="2E3577A3" w14:textId="77777777" w:rsidR="00F573A6" w:rsidRDefault="00F573A6" w:rsidP="00F573A6">
      <w:pPr>
        <w:numPr>
          <w:ilvl w:val="0"/>
          <w:numId w:val="5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Calculation of through-put rates and comparison to prior semester</w:t>
      </w:r>
    </w:p>
    <w:p w14:paraId="543B765D" w14:textId="77777777" w:rsidR="00F573A6" w:rsidRDefault="00F573A6" w:rsidP="00F573A6">
      <w:pPr>
        <w:numPr>
          <w:ilvl w:val="0"/>
          <w:numId w:val="5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>Disaggregation by college, course, and student demographics/characteristics</w:t>
      </w:r>
    </w:p>
    <w:p w14:paraId="0838B8F0" w14:textId="77777777" w:rsidR="00F573A6" w:rsidRDefault="00F573A6" w:rsidP="00F573A6">
      <w:pPr>
        <w:shd w:val="clear" w:color="auto" w:fill="FFFFFF"/>
        <w:textAlignment w:val="top"/>
        <w:rPr>
          <w:b/>
          <w:bCs/>
          <w:color w:val="333333"/>
          <w:bdr w:val="none" w:sz="0" w:space="0" w:color="auto" w:frame="1"/>
        </w:rPr>
      </w:pPr>
    </w:p>
    <w:p w14:paraId="031B78ED" w14:textId="77777777" w:rsidR="00F573A6" w:rsidRDefault="00F573A6" w:rsidP="00F573A6">
      <w:pPr>
        <w:shd w:val="clear" w:color="auto" w:fill="FFFFFF"/>
        <w:textAlignment w:val="top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Persistence: Fall to Spring</w:t>
      </w:r>
    </w:p>
    <w:p w14:paraId="4FFAD63E" w14:textId="77777777" w:rsidR="00F573A6" w:rsidRDefault="00F573A6" w:rsidP="00F573A6">
      <w:pPr>
        <w:numPr>
          <w:ilvl w:val="0"/>
          <w:numId w:val="6"/>
        </w:numPr>
        <w:shd w:val="clear" w:color="auto" w:fill="FFFFFF"/>
        <w:textAlignment w:val="top"/>
        <w:rPr>
          <w:rFonts w:eastAsia="Times New Roman"/>
          <w:color w:val="333333"/>
        </w:rPr>
      </w:pPr>
      <w:r>
        <w:rPr>
          <w:rFonts w:eastAsia="Times New Roman"/>
          <w:color w:val="333333"/>
          <w:bdr w:val="none" w:sz="0" w:space="0" w:color="auto" w:frame="1"/>
        </w:rPr>
        <w:t xml:space="preserve">Analyses and </w:t>
      </w:r>
      <w:proofErr w:type="spellStart"/>
      <w:r>
        <w:rPr>
          <w:rFonts w:eastAsia="Times New Roman"/>
          <w:color w:val="333333"/>
          <w:bdr w:val="none" w:sz="0" w:space="0" w:color="auto" w:frame="1"/>
        </w:rPr>
        <w:t>disaggregations</w:t>
      </w:r>
      <w:proofErr w:type="spellEnd"/>
      <w:r>
        <w:rPr>
          <w:rFonts w:eastAsia="Times New Roman"/>
          <w:color w:val="333333"/>
          <w:bdr w:val="none" w:sz="0" w:space="0" w:color="auto" w:frame="1"/>
        </w:rPr>
        <w:t> by college, course, student demogra</w:t>
      </w:r>
      <w:r w:rsidR="00204EA6">
        <w:rPr>
          <w:rFonts w:eastAsia="Times New Roman"/>
          <w:color w:val="333333"/>
          <w:bdr w:val="none" w:sz="0" w:space="0" w:color="auto" w:frame="1"/>
        </w:rPr>
        <w:t>p</w:t>
      </w:r>
      <w:r>
        <w:rPr>
          <w:rFonts w:eastAsia="Times New Roman"/>
          <w:color w:val="333333"/>
          <w:bdr w:val="none" w:sz="0" w:space="0" w:color="auto" w:frame="1"/>
        </w:rPr>
        <w:t>hics/characteristics</w:t>
      </w:r>
    </w:p>
    <w:p w14:paraId="64F9E091" w14:textId="77777777" w:rsidR="00F573A6" w:rsidRDefault="00F573A6" w:rsidP="00F573A6">
      <w:pPr>
        <w:shd w:val="clear" w:color="auto" w:fill="FFFFFF"/>
        <w:textAlignment w:val="top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14:paraId="6128F590" w14:textId="77777777" w:rsidR="00F573A6" w:rsidRDefault="00F573A6" w:rsidP="00F573A6"/>
    <w:p w14:paraId="7B617BD0" w14:textId="77777777" w:rsidR="003E720D" w:rsidRDefault="003E720D"/>
    <w:sectPr w:rsidR="003E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63BF"/>
    <w:multiLevelType w:val="multilevel"/>
    <w:tmpl w:val="AE8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7C8"/>
    <w:multiLevelType w:val="multilevel"/>
    <w:tmpl w:val="A6F0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A596C"/>
    <w:multiLevelType w:val="multilevel"/>
    <w:tmpl w:val="8F1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8481F"/>
    <w:multiLevelType w:val="multilevel"/>
    <w:tmpl w:val="339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55153"/>
    <w:multiLevelType w:val="multilevel"/>
    <w:tmpl w:val="2CA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15EB"/>
    <w:multiLevelType w:val="multilevel"/>
    <w:tmpl w:val="177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A6"/>
    <w:rsid w:val="00204EA6"/>
    <w:rsid w:val="003E720D"/>
    <w:rsid w:val="00812DFF"/>
    <w:rsid w:val="00AF7ECB"/>
    <w:rsid w:val="00C623DA"/>
    <w:rsid w:val="00F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8518"/>
  <w15:chartTrackingRefBased/>
  <w15:docId w15:val="{209CAEDE-DCB4-4FB8-A642-5252015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3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Echeverri, Angela</dc:creator>
  <cp:keywords/>
  <dc:description/>
  <cp:lastModifiedBy>Janet Fulks</cp:lastModifiedBy>
  <cp:revision>2</cp:revision>
  <dcterms:created xsi:type="dcterms:W3CDTF">2020-06-25T14:08:00Z</dcterms:created>
  <dcterms:modified xsi:type="dcterms:W3CDTF">2020-06-25T14:08:00Z</dcterms:modified>
</cp:coreProperties>
</file>