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72" w:rsidRDefault="005D1472">
      <w:hyperlink r:id="rId5" w:history="1">
        <w:r w:rsidRPr="00FF1A05">
          <w:rPr>
            <w:rStyle w:val="Hyperlink"/>
          </w:rPr>
          <w:t>http://www.smc.edu/ACG/AcademicSenate/Pages/Guided-Pathways-Student-Advisory-Squad.aspx</w:t>
        </w:r>
      </w:hyperlink>
    </w:p>
    <w:p w:rsidR="00827DB0" w:rsidRDefault="005D14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4658360</wp:posOffset>
            </wp:positionV>
            <wp:extent cx="2275205" cy="2596515"/>
            <wp:effectExtent l="0" t="0" r="0" b="0"/>
            <wp:wrapNone/>
            <wp:docPr id="2" name="Picture 2" descr="guided pathways frame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d pathways framewo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43600" cy="766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F93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2"/>
    <w:rsid w:val="000B4122"/>
    <w:rsid w:val="005D1472"/>
    <w:rsid w:val="00827DB0"/>
    <w:rsid w:val="009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mc.edu/ACG/AcademicSenate/Pages/Guided-Pathways-Student-Advisory-Squad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2018-11-27T20:31:00Z</dcterms:created>
  <dcterms:modified xsi:type="dcterms:W3CDTF">2018-11-27T20:33:00Z</dcterms:modified>
</cp:coreProperties>
</file>