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40AE" w14:textId="1A3CA1A7" w:rsidR="00F578D0" w:rsidRPr="00A40E85" w:rsidRDefault="00F578D0" w:rsidP="00F578D0">
      <w:pPr>
        <w:spacing w:after="0" w:line="240" w:lineRule="auto"/>
        <w:rPr>
          <w:rFonts w:asciiTheme="majorHAnsi" w:hAnsiTheme="majorHAnsi" w:cstheme="minorHAnsi"/>
          <w:color w:val="212121"/>
          <w:shd w:val="clear" w:color="auto" w:fill="FFFFFF"/>
        </w:rPr>
      </w:pPr>
      <w:r w:rsidRPr="00A40E85">
        <w:rPr>
          <w:rFonts w:asciiTheme="majorHAnsi" w:hAnsiTheme="majorHAnsi" w:cstheme="minorHAnsi"/>
          <w:b/>
        </w:rPr>
        <w:t>Guided Self-Placement (GSP</w:t>
      </w:r>
      <w:r w:rsidR="00A40E85" w:rsidRPr="00A40E85">
        <w:rPr>
          <w:rFonts w:asciiTheme="majorHAnsi" w:hAnsiTheme="majorHAnsi" w:cstheme="minorHAnsi"/>
          <w:b/>
        </w:rPr>
        <w:t>)</w:t>
      </w:r>
      <w:r w:rsidRPr="00A40E85">
        <w:rPr>
          <w:rFonts w:asciiTheme="majorHAnsi" w:hAnsiTheme="majorHAnsi" w:cstheme="minorHAnsi"/>
          <w:b/>
          <w:i/>
        </w:rPr>
        <w:t xml:space="preserve"> </w:t>
      </w:r>
      <w:r w:rsidRPr="00A40E85">
        <w:rPr>
          <w:rFonts w:asciiTheme="majorHAnsi" w:hAnsiTheme="majorHAnsi" w:cstheme="minorHAnsi"/>
          <w:color w:val="212121"/>
          <w:shd w:val="clear" w:color="auto" w:fill="FFFFFF"/>
        </w:rPr>
        <w:t>is a locally developed tool or process that allows students, in consultation with counselors</w:t>
      </w:r>
      <w:r w:rsidR="00A40E85" w:rsidRPr="00A40E85">
        <w:rPr>
          <w:rFonts w:asciiTheme="majorHAnsi" w:hAnsiTheme="majorHAnsi" w:cstheme="minorHAnsi"/>
          <w:color w:val="212121"/>
          <w:shd w:val="clear" w:color="auto" w:fill="FFFFFF"/>
        </w:rPr>
        <w:t xml:space="preserve"> or other faculty</w:t>
      </w:r>
      <w:r w:rsidRPr="00A40E85">
        <w:rPr>
          <w:rFonts w:asciiTheme="majorHAnsi" w:hAnsiTheme="majorHAnsi" w:cstheme="minorHAnsi"/>
          <w:color w:val="212121"/>
          <w:shd w:val="clear" w:color="auto" w:fill="FFFFFF"/>
        </w:rPr>
        <w:t xml:space="preserve">, to determine </w:t>
      </w:r>
      <w:r w:rsidR="00A40E85">
        <w:rPr>
          <w:rFonts w:asciiTheme="majorHAnsi" w:hAnsiTheme="majorHAnsi" w:cstheme="minorHAnsi"/>
          <w:color w:val="212121"/>
          <w:shd w:val="clear" w:color="auto" w:fill="FFFFFF"/>
        </w:rPr>
        <w:t>suitable</w:t>
      </w:r>
      <w:r w:rsidR="00A40E85" w:rsidRPr="00A40E85">
        <w:rPr>
          <w:rFonts w:asciiTheme="majorHAnsi" w:hAnsiTheme="majorHAnsi" w:cstheme="minorHAnsi"/>
          <w:color w:val="212121"/>
          <w:shd w:val="clear" w:color="auto" w:fill="FFFFFF"/>
        </w:rPr>
        <w:t xml:space="preserve"> </w:t>
      </w:r>
      <w:r w:rsidRPr="00A40E85">
        <w:rPr>
          <w:rFonts w:asciiTheme="majorHAnsi" w:hAnsiTheme="majorHAnsi" w:cstheme="minorHAnsi"/>
          <w:color w:val="212121"/>
          <w:shd w:val="clear" w:color="auto" w:fill="FFFFFF"/>
        </w:rPr>
        <w:t xml:space="preserve">coursework including the appropriate </w:t>
      </w:r>
      <w:r w:rsidR="006C7E94" w:rsidRPr="00A40E85">
        <w:rPr>
          <w:rFonts w:asciiTheme="majorHAnsi" w:hAnsiTheme="majorHAnsi" w:cstheme="minorHAnsi"/>
          <w:color w:val="212121"/>
          <w:shd w:val="clear" w:color="auto" w:fill="FFFFFF"/>
        </w:rPr>
        <w:t>mathematics</w:t>
      </w:r>
      <w:r w:rsidRPr="00A40E85">
        <w:rPr>
          <w:rFonts w:asciiTheme="majorHAnsi" w:hAnsiTheme="majorHAnsi" w:cstheme="minorHAnsi"/>
          <w:color w:val="212121"/>
          <w:shd w:val="clear" w:color="auto" w:fill="FFFFFF"/>
        </w:rPr>
        <w:t xml:space="preserve">, English and </w:t>
      </w:r>
      <w:r w:rsidR="006C7E94" w:rsidRPr="00A40E85">
        <w:rPr>
          <w:rFonts w:asciiTheme="majorHAnsi" w:hAnsiTheme="majorHAnsi" w:cstheme="minorHAnsi"/>
          <w:color w:val="212121"/>
          <w:shd w:val="clear" w:color="auto" w:fill="FFFFFF"/>
        </w:rPr>
        <w:t xml:space="preserve">English </w:t>
      </w:r>
      <w:r w:rsidR="003D1FC9" w:rsidRPr="00A40E85">
        <w:rPr>
          <w:rFonts w:asciiTheme="majorHAnsi" w:hAnsiTheme="majorHAnsi" w:cstheme="minorHAnsi"/>
          <w:color w:val="212121"/>
          <w:shd w:val="clear" w:color="auto" w:fill="FFFFFF"/>
        </w:rPr>
        <w:t>as a Second Language (ESL) entry-level class</w:t>
      </w:r>
      <w:r w:rsidRPr="00A40E85">
        <w:rPr>
          <w:rFonts w:asciiTheme="majorHAnsi" w:hAnsiTheme="majorHAnsi" w:cstheme="minorHAnsi"/>
          <w:color w:val="212121"/>
          <w:shd w:val="clear" w:color="auto" w:fill="FFFFFF"/>
        </w:rPr>
        <w:t xml:space="preserve">. GSP is a response to considerable research that indicates that placement testing and other placement measures are not always </w:t>
      </w:r>
      <w:r w:rsidR="006C7E94" w:rsidRPr="00A40E85">
        <w:rPr>
          <w:rFonts w:asciiTheme="majorHAnsi" w:hAnsiTheme="majorHAnsi" w:cstheme="minorHAnsi"/>
          <w:color w:val="212121"/>
          <w:shd w:val="clear" w:color="auto" w:fill="FFFFFF"/>
        </w:rPr>
        <w:t xml:space="preserve">effective </w:t>
      </w:r>
      <w:r w:rsidRPr="00A40E85">
        <w:rPr>
          <w:rFonts w:asciiTheme="majorHAnsi" w:hAnsiTheme="majorHAnsi" w:cstheme="minorHAnsi"/>
          <w:color w:val="212121"/>
          <w:shd w:val="clear" w:color="auto" w:fill="FFFFFF"/>
        </w:rPr>
        <w:t>predictors of success for individual students. In addition, GSP encourages students' personal metacognitive evaluation and self-determination as a part of the placement process. GSP tools provide students with basic information about multiple measures and help them, through questions, examples, and course descriptions, determine the appropriate level of placement aligned with the student’s educational goals. The g</w:t>
      </w:r>
      <w:r w:rsidR="00D63FEC" w:rsidRPr="00A40E85">
        <w:rPr>
          <w:rFonts w:asciiTheme="majorHAnsi" w:hAnsiTheme="majorHAnsi" w:cstheme="minorHAnsi"/>
          <w:color w:val="212121"/>
          <w:shd w:val="clear" w:color="auto" w:fill="FFFFFF"/>
        </w:rPr>
        <w:t>oal of GSP is not to challenge</w:t>
      </w:r>
      <w:r w:rsidRPr="00A40E85">
        <w:rPr>
          <w:rFonts w:asciiTheme="majorHAnsi" w:hAnsiTheme="majorHAnsi" w:cstheme="minorHAnsi"/>
          <w:color w:val="212121"/>
          <w:shd w:val="clear" w:color="auto" w:fill="FFFFFF"/>
        </w:rPr>
        <w:t xml:space="preserve"> transfer-level placement but rather to help students integrate self-analysis with data and course expectations with the goal of optimizing student investment, experience and resolve.</w:t>
      </w:r>
    </w:p>
    <w:p w14:paraId="2E550770" w14:textId="77777777" w:rsidR="00F578D0" w:rsidRPr="00A40E85" w:rsidRDefault="00F578D0" w:rsidP="00F578D0">
      <w:pPr>
        <w:spacing w:after="0" w:line="240" w:lineRule="auto"/>
        <w:rPr>
          <w:rFonts w:asciiTheme="majorHAnsi" w:hAnsiTheme="majorHAnsi" w:cstheme="minorHAnsi"/>
          <w:color w:val="212121"/>
          <w:shd w:val="clear" w:color="auto" w:fill="FFFFFF"/>
        </w:rPr>
      </w:pPr>
    </w:p>
    <w:p w14:paraId="7291A39B" w14:textId="5B441932" w:rsidR="00696F32" w:rsidRPr="00A40E85" w:rsidRDefault="00F578D0" w:rsidP="00F578D0">
      <w:pPr>
        <w:spacing w:after="0" w:line="240" w:lineRule="auto"/>
        <w:rPr>
          <w:rFonts w:asciiTheme="majorHAnsi" w:hAnsiTheme="majorHAnsi" w:cstheme="minorHAnsi"/>
          <w:b/>
          <w:color w:val="212121"/>
          <w:shd w:val="clear" w:color="auto" w:fill="FFFFFF"/>
        </w:rPr>
      </w:pPr>
      <w:r w:rsidRPr="00A40E85">
        <w:rPr>
          <w:rFonts w:asciiTheme="majorHAnsi" w:hAnsiTheme="majorHAnsi" w:cstheme="minorHAnsi"/>
          <w:b/>
          <w:color w:val="212121"/>
          <w:shd w:val="clear" w:color="auto" w:fill="FFFFFF"/>
        </w:rPr>
        <w:t xml:space="preserve">Step 1: </w:t>
      </w:r>
      <w:r w:rsidR="00696F32" w:rsidRPr="00A40E85">
        <w:rPr>
          <w:rFonts w:asciiTheme="majorHAnsi" w:hAnsiTheme="majorHAnsi" w:cstheme="minorHAnsi"/>
          <w:b/>
          <w:color w:val="212121"/>
          <w:shd w:val="clear" w:color="auto" w:fill="FFFFFF"/>
        </w:rPr>
        <w:t>Career Counseling</w:t>
      </w:r>
    </w:p>
    <w:p w14:paraId="5E878A39" w14:textId="78408870" w:rsidR="00696F32" w:rsidRPr="00A40E85" w:rsidRDefault="00696F32" w:rsidP="00F578D0">
      <w:pPr>
        <w:spacing w:after="0" w:line="240" w:lineRule="auto"/>
        <w:rPr>
          <w:rFonts w:asciiTheme="majorHAnsi" w:hAnsiTheme="majorHAnsi" w:cstheme="minorHAnsi"/>
          <w:color w:val="212121"/>
          <w:shd w:val="clear" w:color="auto" w:fill="FFFFFF"/>
        </w:rPr>
      </w:pPr>
      <w:r w:rsidRPr="00A40E85">
        <w:rPr>
          <w:rFonts w:asciiTheme="majorHAnsi" w:hAnsiTheme="majorHAnsi" w:cstheme="minorHAnsi"/>
          <w:color w:val="212121"/>
          <w:shd w:val="clear" w:color="auto" w:fill="FFFFFF"/>
        </w:rPr>
        <w:t>Students should be informed about the difference between degrees, certificates, transfer and professional degrees and be provided an opportunity to explore their interests and potential employment options.</w:t>
      </w:r>
    </w:p>
    <w:p w14:paraId="6A1D73CE" w14:textId="77777777" w:rsidR="00696F32" w:rsidRPr="00A40E85" w:rsidRDefault="00696F32" w:rsidP="00F578D0">
      <w:pPr>
        <w:spacing w:after="0" w:line="240" w:lineRule="auto"/>
        <w:rPr>
          <w:rFonts w:asciiTheme="majorHAnsi" w:hAnsiTheme="majorHAnsi" w:cstheme="minorHAnsi"/>
          <w:color w:val="212121"/>
          <w:shd w:val="clear" w:color="auto" w:fill="FFFFFF"/>
        </w:rPr>
      </w:pPr>
    </w:p>
    <w:p w14:paraId="66A58035" w14:textId="3434642A" w:rsidR="00696F32" w:rsidRPr="00A40E85" w:rsidRDefault="00696F32" w:rsidP="00696F32">
      <w:pPr>
        <w:spacing w:after="0" w:line="240" w:lineRule="auto"/>
        <w:rPr>
          <w:rFonts w:asciiTheme="majorHAnsi" w:hAnsiTheme="majorHAnsi"/>
        </w:rPr>
      </w:pPr>
      <w:r w:rsidRPr="00A40E85">
        <w:rPr>
          <w:rFonts w:asciiTheme="majorHAnsi" w:hAnsiTheme="majorHAnsi" w:cstheme="minorHAnsi"/>
          <w:b/>
          <w:color w:val="212121"/>
          <w:shd w:val="clear" w:color="auto" w:fill="FFFFFF"/>
        </w:rPr>
        <w:t xml:space="preserve">Step 2: </w:t>
      </w:r>
      <w:r w:rsidRPr="00A40E85">
        <w:rPr>
          <w:rFonts w:asciiTheme="majorHAnsi" w:hAnsiTheme="majorHAnsi"/>
          <w:b/>
        </w:rPr>
        <w:t>Select</w:t>
      </w:r>
      <w:r w:rsidR="00A40E85" w:rsidRPr="00A40E85">
        <w:rPr>
          <w:rFonts w:asciiTheme="majorHAnsi" w:hAnsiTheme="majorHAnsi"/>
          <w:b/>
        </w:rPr>
        <w:t xml:space="preserve">ing a </w:t>
      </w:r>
      <w:r w:rsidRPr="00A40E85">
        <w:rPr>
          <w:rFonts w:asciiTheme="majorHAnsi" w:hAnsiTheme="majorHAnsi"/>
          <w:b/>
        </w:rPr>
        <w:t>Metamajor and Major</w:t>
      </w:r>
      <w:r w:rsidRPr="00A40E85">
        <w:rPr>
          <w:rFonts w:asciiTheme="majorHAnsi" w:hAnsiTheme="majorHAnsi"/>
        </w:rPr>
        <w:t xml:space="preserve"> </w:t>
      </w:r>
      <w:r w:rsidR="00A40E85">
        <w:rPr>
          <w:rFonts w:asciiTheme="majorHAnsi" w:hAnsiTheme="majorHAnsi"/>
        </w:rPr>
        <w:t>which helps to</w:t>
      </w:r>
      <w:r w:rsidRPr="00A40E85">
        <w:rPr>
          <w:rFonts w:asciiTheme="majorHAnsi" w:hAnsiTheme="majorHAnsi"/>
        </w:rPr>
        <w:t xml:space="preserve"> clarify </w:t>
      </w:r>
      <w:r w:rsidR="008E24D8" w:rsidRPr="00A40E85">
        <w:rPr>
          <w:rFonts w:asciiTheme="majorHAnsi" w:hAnsiTheme="majorHAnsi"/>
        </w:rPr>
        <w:t>the Mathematics</w:t>
      </w:r>
      <w:r w:rsidR="00A40E85">
        <w:rPr>
          <w:rFonts w:asciiTheme="majorHAnsi" w:hAnsiTheme="majorHAnsi"/>
        </w:rPr>
        <w:t xml:space="preserve"> and GE Pathways</w:t>
      </w:r>
      <w:r w:rsidR="003D1FC9">
        <w:rPr>
          <w:rFonts w:asciiTheme="majorHAnsi" w:hAnsiTheme="majorHAnsi"/>
        </w:rPr>
        <w:t>. C</w:t>
      </w:r>
      <w:r w:rsidR="003D1FC9" w:rsidRPr="00A40E85">
        <w:rPr>
          <w:rFonts w:asciiTheme="majorHAnsi" w:hAnsiTheme="majorHAnsi"/>
        </w:rPr>
        <w:t>olleges should list the desired mathematics</w:t>
      </w:r>
      <w:r w:rsidR="003D1FC9">
        <w:rPr>
          <w:rFonts w:asciiTheme="majorHAnsi" w:hAnsiTheme="majorHAnsi"/>
        </w:rPr>
        <w:t xml:space="preserve"> pathways by metamajors and/</w:t>
      </w:r>
      <w:r w:rsidR="003D1FC9" w:rsidRPr="00A40E85">
        <w:rPr>
          <w:rFonts w:asciiTheme="majorHAnsi" w:hAnsiTheme="majorHAnsi"/>
        </w:rPr>
        <w:t>or programs for students to reference.</w:t>
      </w:r>
    </w:p>
    <w:p w14:paraId="763469CF"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STEM (Science, Technology, Engineering, or Mathematics)- pre-calculus, trigonometry, calculus, biostats, College Algebra</w:t>
      </w:r>
    </w:p>
    <w:p w14:paraId="53CC345E"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Business and Accounting – finite mathematics, business calculus, statistics</w:t>
      </w:r>
    </w:p>
    <w:p w14:paraId="5C01D1E3"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Education – liberal studies mathematics, contemporary mathematics, Fundamentals of Mathematics</w:t>
      </w:r>
    </w:p>
    <w:p w14:paraId="4CDDE634"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Social Sciences &amp; Public Safety, Communication, Allied Health, Human Resources, Journalism– Statistics, Behavioral Science Statistics</w:t>
      </w:r>
    </w:p>
    <w:p w14:paraId="77D53294"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Humanities, Hospitality – Quantitative reasoning</w:t>
      </w:r>
    </w:p>
    <w:p w14:paraId="490241DD" w14:textId="77777777" w:rsidR="00696F32" w:rsidRPr="00A40E85" w:rsidRDefault="00696F32" w:rsidP="00696F32">
      <w:pPr>
        <w:pStyle w:val="ListParagraph"/>
        <w:numPr>
          <w:ilvl w:val="0"/>
          <w:numId w:val="4"/>
        </w:numPr>
        <w:spacing w:after="0" w:line="240" w:lineRule="auto"/>
        <w:rPr>
          <w:rFonts w:asciiTheme="majorHAnsi" w:hAnsiTheme="majorHAnsi"/>
        </w:rPr>
      </w:pPr>
      <w:r w:rsidRPr="00A40E85">
        <w:rPr>
          <w:rFonts w:asciiTheme="majorHAnsi" w:hAnsiTheme="majorHAnsi"/>
        </w:rPr>
        <w:t xml:space="preserve">Technical Majors – Technical Mathematics, preferably transferrable </w:t>
      </w:r>
    </w:p>
    <w:p w14:paraId="76A59CEA" w14:textId="77777777" w:rsidR="00696F32" w:rsidRPr="00A40E85" w:rsidRDefault="00696F32" w:rsidP="00F578D0">
      <w:pPr>
        <w:spacing w:after="0" w:line="240" w:lineRule="auto"/>
        <w:rPr>
          <w:rFonts w:asciiTheme="majorHAnsi" w:hAnsiTheme="majorHAnsi" w:cstheme="minorHAnsi"/>
          <w:color w:val="212121"/>
          <w:shd w:val="clear" w:color="auto" w:fill="FFFFFF"/>
        </w:rPr>
      </w:pPr>
    </w:p>
    <w:p w14:paraId="0F0B1E52" w14:textId="6C6A47C6" w:rsidR="00F578D0" w:rsidRPr="003D1FC9" w:rsidRDefault="00696F32" w:rsidP="00F578D0">
      <w:pPr>
        <w:spacing w:after="0" w:line="240" w:lineRule="auto"/>
        <w:rPr>
          <w:rFonts w:asciiTheme="majorHAnsi" w:hAnsiTheme="majorHAnsi" w:cstheme="minorHAnsi"/>
          <w:b/>
          <w:color w:val="212121"/>
          <w:shd w:val="clear" w:color="auto" w:fill="FFFFFF"/>
        </w:rPr>
      </w:pPr>
      <w:r w:rsidRPr="003D1FC9">
        <w:rPr>
          <w:rFonts w:asciiTheme="majorHAnsi" w:hAnsiTheme="majorHAnsi" w:cstheme="minorHAnsi"/>
          <w:b/>
          <w:color w:val="212121"/>
          <w:shd w:val="clear" w:color="auto" w:fill="FFFFFF"/>
        </w:rPr>
        <w:t xml:space="preserve">Step 3: </w:t>
      </w:r>
      <w:r w:rsidR="00F578D0" w:rsidRPr="003D1FC9">
        <w:rPr>
          <w:rFonts w:asciiTheme="majorHAnsi" w:hAnsiTheme="majorHAnsi" w:cstheme="minorHAnsi"/>
          <w:b/>
          <w:color w:val="212121"/>
          <w:shd w:val="clear" w:color="auto" w:fill="FFFFFF"/>
        </w:rPr>
        <w:t>Clarify overall Educational Goal</w:t>
      </w:r>
      <w:r w:rsidRPr="003D1FC9">
        <w:rPr>
          <w:rFonts w:asciiTheme="majorHAnsi" w:hAnsiTheme="majorHAnsi" w:cstheme="minorHAnsi"/>
          <w:b/>
          <w:color w:val="212121"/>
          <w:shd w:val="clear" w:color="auto" w:fill="FFFFFF"/>
        </w:rPr>
        <w:t xml:space="preserve"> (degree, certificate or transfer)</w:t>
      </w:r>
    </w:p>
    <w:p w14:paraId="3896DFF8" w14:textId="18B9A5AC" w:rsidR="00F578D0" w:rsidRPr="00A40E85" w:rsidRDefault="00F578D0" w:rsidP="00F578D0">
      <w:pPr>
        <w:spacing w:after="0" w:line="240" w:lineRule="auto"/>
        <w:rPr>
          <w:rFonts w:asciiTheme="majorHAnsi" w:hAnsiTheme="majorHAnsi" w:cstheme="minorHAnsi"/>
          <w:color w:val="212121"/>
          <w:shd w:val="clear" w:color="auto" w:fill="FFFFFF"/>
        </w:rPr>
      </w:pPr>
      <w:r w:rsidRPr="00A40E85">
        <w:rPr>
          <w:rFonts w:asciiTheme="majorHAnsi" w:hAnsiTheme="majorHAnsi" w:cstheme="minorHAnsi"/>
          <w:color w:val="212121"/>
          <w:shd w:val="clear" w:color="auto" w:fill="FFFFFF"/>
        </w:rPr>
        <w:t xml:space="preserve">Begin with a student’s informed goal: students should select a goal that is aligned to their ultimate educational pathway. If the intent is to </w:t>
      </w:r>
      <w:r w:rsidR="006C7E94" w:rsidRPr="00A40E85">
        <w:rPr>
          <w:rFonts w:asciiTheme="majorHAnsi" w:hAnsiTheme="majorHAnsi" w:cstheme="minorHAnsi"/>
          <w:color w:val="212121"/>
          <w:shd w:val="clear" w:color="auto" w:fill="FFFFFF"/>
        </w:rPr>
        <w:t xml:space="preserve">continue their </w:t>
      </w:r>
      <w:r w:rsidRPr="00A40E85">
        <w:rPr>
          <w:rFonts w:asciiTheme="majorHAnsi" w:hAnsiTheme="majorHAnsi" w:cstheme="minorHAnsi"/>
          <w:color w:val="212121"/>
          <w:shd w:val="clear" w:color="auto" w:fill="FFFFFF"/>
        </w:rPr>
        <w:t>education</w:t>
      </w:r>
      <w:r w:rsidR="006C7E94" w:rsidRPr="00A40E85">
        <w:rPr>
          <w:rFonts w:asciiTheme="majorHAnsi" w:hAnsiTheme="majorHAnsi" w:cstheme="minorHAnsi"/>
          <w:color w:val="212121"/>
          <w:shd w:val="clear" w:color="auto" w:fill="FFFFFF"/>
        </w:rPr>
        <w:t xml:space="preserve"> beyond a certificate or an associate degree at some time in the future</w:t>
      </w:r>
      <w:r w:rsidRPr="00A40E85">
        <w:rPr>
          <w:rFonts w:asciiTheme="majorHAnsi" w:hAnsiTheme="majorHAnsi" w:cstheme="minorHAnsi"/>
          <w:color w:val="212121"/>
          <w:shd w:val="clear" w:color="auto" w:fill="FFFFFF"/>
        </w:rPr>
        <w:t>, this will influence current course-taking, even if the stude</w:t>
      </w:r>
      <w:bookmarkStart w:id="0" w:name="_GoBack"/>
      <w:bookmarkEnd w:id="0"/>
      <w:r w:rsidRPr="00A40E85">
        <w:rPr>
          <w:rFonts w:asciiTheme="majorHAnsi" w:hAnsiTheme="majorHAnsi" w:cstheme="minorHAnsi"/>
          <w:color w:val="212121"/>
          <w:shd w:val="clear" w:color="auto" w:fill="FFFFFF"/>
        </w:rPr>
        <w:t xml:space="preserve">nt’s short-term goal </w:t>
      </w:r>
      <w:r w:rsidR="006C7E94" w:rsidRPr="00A40E85">
        <w:rPr>
          <w:rFonts w:asciiTheme="majorHAnsi" w:hAnsiTheme="majorHAnsi" w:cstheme="minorHAnsi"/>
          <w:color w:val="212121"/>
          <w:shd w:val="clear" w:color="auto" w:fill="FFFFFF"/>
        </w:rPr>
        <w:t xml:space="preserve">is </w:t>
      </w:r>
      <w:r w:rsidRPr="00A40E85">
        <w:rPr>
          <w:rFonts w:asciiTheme="majorHAnsi" w:hAnsiTheme="majorHAnsi" w:cstheme="minorHAnsi"/>
          <w:color w:val="212121"/>
          <w:shd w:val="clear" w:color="auto" w:fill="FFFFFF"/>
        </w:rPr>
        <w:t xml:space="preserve">to complete a certificate </w:t>
      </w:r>
      <w:r w:rsidR="006C7E94" w:rsidRPr="00A40E85">
        <w:rPr>
          <w:rFonts w:asciiTheme="majorHAnsi" w:hAnsiTheme="majorHAnsi" w:cstheme="minorHAnsi"/>
          <w:color w:val="212121"/>
          <w:shd w:val="clear" w:color="auto" w:fill="FFFFFF"/>
        </w:rPr>
        <w:t xml:space="preserve">or associate degree </w:t>
      </w:r>
      <w:r w:rsidRPr="00A40E85">
        <w:rPr>
          <w:rFonts w:asciiTheme="majorHAnsi" w:hAnsiTheme="majorHAnsi" w:cstheme="minorHAnsi"/>
          <w:color w:val="212121"/>
          <w:shd w:val="clear" w:color="auto" w:fill="FFFFFF"/>
        </w:rPr>
        <w:t>and get a job.</w:t>
      </w:r>
    </w:p>
    <w:p w14:paraId="0F1AFF12" w14:textId="406CF5B7" w:rsidR="00F578D0" w:rsidRPr="00A40E85" w:rsidRDefault="00527792" w:rsidP="00F578D0">
      <w:pPr>
        <w:spacing w:after="0" w:line="240" w:lineRule="auto"/>
        <w:rPr>
          <w:rFonts w:asciiTheme="majorHAnsi" w:hAnsiTheme="majorHAnsi" w:cstheme="minorHAnsi"/>
          <w:color w:val="212121"/>
          <w:shd w:val="clear" w:color="auto" w:fill="FFFFFF"/>
        </w:rPr>
      </w:pPr>
      <w:r>
        <w:rPr>
          <w:rFonts w:asciiTheme="majorHAnsi" w:hAnsiTheme="majorHAnsi" w:cstheme="minorHAnsi"/>
          <w:color w:val="212121"/>
          <w:shd w:val="clear" w:color="auto" w:fill="FFFFFF"/>
        </w:rPr>
        <w:t>A s</w:t>
      </w:r>
      <w:r w:rsidR="001406BF">
        <w:rPr>
          <w:rFonts w:asciiTheme="majorHAnsi" w:hAnsiTheme="majorHAnsi" w:cstheme="minorHAnsi"/>
          <w:color w:val="212121"/>
          <w:shd w:val="clear" w:color="auto" w:fill="FFFFFF"/>
        </w:rPr>
        <w:t xml:space="preserve">tudent should determine whether </w:t>
      </w:r>
      <w:r>
        <w:rPr>
          <w:rFonts w:asciiTheme="majorHAnsi" w:hAnsiTheme="majorHAnsi" w:cstheme="minorHAnsi"/>
          <w:color w:val="212121"/>
          <w:shd w:val="clear" w:color="auto" w:fill="FFFFFF"/>
        </w:rPr>
        <w:t>his or her</w:t>
      </w:r>
      <w:r w:rsidR="00F578D0" w:rsidRPr="00A40E85">
        <w:rPr>
          <w:rFonts w:asciiTheme="majorHAnsi" w:hAnsiTheme="majorHAnsi" w:cstheme="minorHAnsi"/>
          <w:color w:val="212121"/>
          <w:shd w:val="clear" w:color="auto" w:fill="FFFFFF"/>
        </w:rPr>
        <w:t xml:space="preserve"> </w:t>
      </w:r>
      <w:r w:rsidR="00486BFE" w:rsidRPr="00A40E85">
        <w:rPr>
          <w:rFonts w:asciiTheme="majorHAnsi" w:hAnsiTheme="majorHAnsi" w:cstheme="minorHAnsi"/>
          <w:color w:val="212121"/>
          <w:shd w:val="clear" w:color="auto" w:fill="FFFFFF"/>
        </w:rPr>
        <w:t>goal</w:t>
      </w:r>
      <w:r w:rsidR="001406BF">
        <w:rPr>
          <w:rFonts w:asciiTheme="majorHAnsi" w:hAnsiTheme="majorHAnsi" w:cstheme="minorHAnsi"/>
          <w:color w:val="212121"/>
          <w:shd w:val="clear" w:color="auto" w:fill="FFFFFF"/>
        </w:rPr>
        <w:t xml:space="preserve"> is</w:t>
      </w:r>
      <w:r w:rsidR="00F578D0" w:rsidRPr="00A40E85">
        <w:rPr>
          <w:rFonts w:asciiTheme="majorHAnsi" w:hAnsiTheme="majorHAnsi" w:cstheme="minorHAnsi"/>
          <w:color w:val="212121"/>
          <w:shd w:val="clear" w:color="auto" w:fill="FFFFFF"/>
        </w:rPr>
        <w:t>:</w:t>
      </w:r>
    </w:p>
    <w:p w14:paraId="19B7FE14" w14:textId="320A644F" w:rsidR="00F578D0" w:rsidRPr="00A40E85" w:rsidRDefault="00F578D0" w:rsidP="00F578D0">
      <w:pPr>
        <w:pStyle w:val="ListParagraph"/>
        <w:numPr>
          <w:ilvl w:val="0"/>
          <w:numId w:val="1"/>
        </w:numPr>
        <w:spacing w:after="0" w:line="240" w:lineRule="auto"/>
        <w:rPr>
          <w:rFonts w:asciiTheme="majorHAnsi" w:hAnsiTheme="majorHAnsi"/>
        </w:rPr>
      </w:pPr>
      <w:r w:rsidRPr="00A40E85">
        <w:rPr>
          <w:rFonts w:asciiTheme="majorHAnsi" w:hAnsiTheme="majorHAnsi"/>
        </w:rPr>
        <w:t xml:space="preserve">Completion of a transfer degree with guarantee of transfer to </w:t>
      </w:r>
      <w:r w:rsidR="006C7E94" w:rsidRPr="00A40E85">
        <w:rPr>
          <w:rFonts w:asciiTheme="majorHAnsi" w:hAnsiTheme="majorHAnsi"/>
        </w:rPr>
        <w:t xml:space="preserve">the </w:t>
      </w:r>
      <w:r w:rsidRPr="00A40E85">
        <w:rPr>
          <w:rFonts w:asciiTheme="majorHAnsi" w:hAnsiTheme="majorHAnsi"/>
        </w:rPr>
        <w:t>California State University</w:t>
      </w:r>
      <w:r w:rsidR="006C7E94" w:rsidRPr="00A40E85">
        <w:rPr>
          <w:rFonts w:asciiTheme="majorHAnsi" w:hAnsiTheme="majorHAnsi"/>
        </w:rPr>
        <w:t xml:space="preserve"> system</w:t>
      </w:r>
      <w:r w:rsidRPr="00A40E85">
        <w:rPr>
          <w:rFonts w:asciiTheme="majorHAnsi" w:hAnsiTheme="majorHAnsi"/>
        </w:rPr>
        <w:t>?</w:t>
      </w:r>
    </w:p>
    <w:p w14:paraId="429B0302" w14:textId="53B6EAB0" w:rsidR="00F578D0" w:rsidRPr="00A40E85" w:rsidRDefault="00F578D0" w:rsidP="00F578D0">
      <w:pPr>
        <w:pStyle w:val="ListParagraph"/>
        <w:numPr>
          <w:ilvl w:val="0"/>
          <w:numId w:val="1"/>
        </w:numPr>
        <w:spacing w:after="0" w:line="240" w:lineRule="auto"/>
        <w:rPr>
          <w:rFonts w:asciiTheme="majorHAnsi" w:hAnsiTheme="majorHAnsi"/>
        </w:rPr>
      </w:pPr>
      <w:r w:rsidRPr="00A40E85">
        <w:rPr>
          <w:rFonts w:asciiTheme="majorHAnsi" w:hAnsiTheme="majorHAnsi" w:cstheme="minorHAnsi"/>
          <w:color w:val="212121"/>
          <w:shd w:val="clear" w:color="auto" w:fill="FFFFFF"/>
        </w:rPr>
        <w:t>Completion of a</w:t>
      </w:r>
      <w:r w:rsidR="006C7E94" w:rsidRPr="00A40E85">
        <w:rPr>
          <w:rFonts w:asciiTheme="majorHAnsi" w:hAnsiTheme="majorHAnsi" w:cstheme="minorHAnsi"/>
          <w:color w:val="212121"/>
          <w:shd w:val="clear" w:color="auto" w:fill="FFFFFF"/>
        </w:rPr>
        <w:t>n associate</w:t>
      </w:r>
      <w:r w:rsidRPr="00A40E85">
        <w:rPr>
          <w:rFonts w:asciiTheme="majorHAnsi" w:hAnsiTheme="majorHAnsi" w:cstheme="minorHAnsi"/>
          <w:color w:val="212121"/>
          <w:shd w:val="clear" w:color="auto" w:fill="FFFFFF"/>
        </w:rPr>
        <w:t xml:space="preserve"> degree at the community college with plans to transfer and completion of a bachelor’s degree?</w:t>
      </w:r>
    </w:p>
    <w:p w14:paraId="4FCF30FA" w14:textId="38320C58" w:rsidR="00F578D0" w:rsidRPr="00A40E85" w:rsidRDefault="00F578D0" w:rsidP="00F578D0">
      <w:pPr>
        <w:pStyle w:val="ListParagraph"/>
        <w:numPr>
          <w:ilvl w:val="0"/>
          <w:numId w:val="1"/>
        </w:numPr>
        <w:spacing w:after="0" w:line="240" w:lineRule="auto"/>
        <w:rPr>
          <w:rFonts w:asciiTheme="majorHAnsi" w:hAnsiTheme="majorHAnsi"/>
        </w:rPr>
      </w:pPr>
      <w:r w:rsidRPr="00A40E85">
        <w:rPr>
          <w:rFonts w:asciiTheme="majorHAnsi" w:hAnsiTheme="majorHAnsi" w:cstheme="minorHAnsi"/>
          <w:color w:val="212121"/>
          <w:shd w:val="clear" w:color="auto" w:fill="FFFFFF"/>
        </w:rPr>
        <w:t xml:space="preserve">Completion of a certificate or </w:t>
      </w:r>
      <w:r w:rsidR="006C7E94" w:rsidRPr="00A40E85">
        <w:rPr>
          <w:rFonts w:asciiTheme="majorHAnsi" w:hAnsiTheme="majorHAnsi" w:cstheme="minorHAnsi"/>
          <w:color w:val="212121"/>
          <w:shd w:val="clear" w:color="auto" w:fill="FFFFFF"/>
        </w:rPr>
        <w:t xml:space="preserve">an associate </w:t>
      </w:r>
      <w:r w:rsidRPr="00A40E85">
        <w:rPr>
          <w:rFonts w:asciiTheme="majorHAnsi" w:hAnsiTheme="majorHAnsi" w:cstheme="minorHAnsi"/>
          <w:color w:val="212121"/>
          <w:shd w:val="clear" w:color="auto" w:fill="FFFFFF"/>
        </w:rPr>
        <w:t>degree at the community college (</w:t>
      </w:r>
      <w:r w:rsidR="00BF6E06" w:rsidRPr="00A40E85">
        <w:rPr>
          <w:rFonts w:asciiTheme="majorHAnsi" w:hAnsiTheme="majorHAnsi" w:cstheme="minorHAnsi"/>
          <w:color w:val="212121"/>
          <w:shd w:val="clear" w:color="auto" w:fill="FFFFFF"/>
        </w:rPr>
        <w:t>usually focusing on employment)</w:t>
      </w:r>
      <w:r w:rsidRPr="00A40E85">
        <w:rPr>
          <w:rFonts w:asciiTheme="majorHAnsi" w:hAnsiTheme="majorHAnsi" w:cstheme="minorHAnsi"/>
          <w:color w:val="212121"/>
          <w:shd w:val="clear" w:color="auto" w:fill="FFFFFF"/>
        </w:rPr>
        <w:t>?</w:t>
      </w:r>
    </w:p>
    <w:p w14:paraId="5A96CB13" w14:textId="77777777" w:rsidR="00F578D0" w:rsidRPr="00A40E85" w:rsidRDefault="00F578D0" w:rsidP="00F578D0">
      <w:pPr>
        <w:pStyle w:val="ListParagraph"/>
        <w:numPr>
          <w:ilvl w:val="0"/>
          <w:numId w:val="1"/>
        </w:numPr>
        <w:spacing w:after="0" w:line="240" w:lineRule="auto"/>
        <w:rPr>
          <w:rFonts w:asciiTheme="majorHAnsi" w:hAnsiTheme="majorHAnsi"/>
        </w:rPr>
      </w:pPr>
      <w:r w:rsidRPr="00A40E85">
        <w:rPr>
          <w:rFonts w:asciiTheme="majorHAnsi" w:hAnsiTheme="majorHAnsi"/>
        </w:rPr>
        <w:t>Completion of a course or two in order to improve a current employment status or required coursework for professional development?</w:t>
      </w:r>
    </w:p>
    <w:p w14:paraId="65F97317" w14:textId="77777777" w:rsidR="00F578D0" w:rsidRPr="00A40E85" w:rsidRDefault="00F578D0" w:rsidP="00F578D0">
      <w:pPr>
        <w:pStyle w:val="ListParagraph"/>
        <w:numPr>
          <w:ilvl w:val="0"/>
          <w:numId w:val="1"/>
        </w:numPr>
        <w:spacing w:after="0" w:line="240" w:lineRule="auto"/>
        <w:rPr>
          <w:rFonts w:asciiTheme="majorHAnsi" w:hAnsiTheme="majorHAnsi"/>
        </w:rPr>
      </w:pPr>
      <w:r w:rsidRPr="00A40E85">
        <w:rPr>
          <w:rFonts w:asciiTheme="majorHAnsi" w:hAnsiTheme="majorHAnsi"/>
        </w:rPr>
        <w:t>Completion of courses relating to individual interest or continuous learning goals?</w:t>
      </w:r>
    </w:p>
    <w:p w14:paraId="2DC1155E" w14:textId="77777777" w:rsidR="00F578D0" w:rsidRPr="00A40E85" w:rsidRDefault="00F578D0" w:rsidP="00F578D0">
      <w:pPr>
        <w:spacing w:after="0" w:line="240" w:lineRule="auto"/>
        <w:rPr>
          <w:rFonts w:asciiTheme="majorHAnsi" w:hAnsiTheme="majorHAnsi"/>
        </w:rPr>
      </w:pPr>
    </w:p>
    <w:p w14:paraId="2DB4AD46" w14:textId="4C50C22E" w:rsidR="00F578D0" w:rsidRPr="003D1FC9" w:rsidRDefault="00F578D0" w:rsidP="00F578D0">
      <w:pPr>
        <w:spacing w:after="0" w:line="240" w:lineRule="auto"/>
        <w:rPr>
          <w:rFonts w:asciiTheme="majorHAnsi" w:hAnsiTheme="majorHAnsi"/>
          <w:b/>
        </w:rPr>
      </w:pPr>
      <w:r w:rsidRPr="003D1FC9">
        <w:rPr>
          <w:rFonts w:asciiTheme="majorHAnsi" w:hAnsiTheme="majorHAnsi"/>
          <w:b/>
        </w:rPr>
        <w:t xml:space="preserve">Step 4: Clarify English or </w:t>
      </w:r>
      <w:r w:rsidR="006C7E94" w:rsidRPr="003D1FC9">
        <w:rPr>
          <w:rFonts w:asciiTheme="majorHAnsi" w:hAnsiTheme="majorHAnsi" w:cstheme="minorHAnsi"/>
          <w:b/>
          <w:color w:val="212121"/>
          <w:shd w:val="clear" w:color="auto" w:fill="FFFFFF"/>
        </w:rPr>
        <w:t>English as a Second Language (ESL)</w:t>
      </w:r>
      <w:r w:rsidR="008E24D8" w:rsidRPr="003D1FC9">
        <w:rPr>
          <w:rFonts w:asciiTheme="majorHAnsi" w:hAnsiTheme="majorHAnsi" w:cstheme="minorHAnsi"/>
          <w:b/>
          <w:color w:val="212121"/>
          <w:shd w:val="clear" w:color="auto" w:fill="FFFFFF"/>
        </w:rPr>
        <w:t xml:space="preserve"> and Mathematics</w:t>
      </w:r>
      <w:r w:rsidR="008E24D8" w:rsidRPr="003D1FC9">
        <w:rPr>
          <w:rFonts w:asciiTheme="majorHAnsi" w:hAnsiTheme="majorHAnsi"/>
          <w:b/>
        </w:rPr>
        <w:t xml:space="preserve"> course</w:t>
      </w:r>
      <w:r w:rsidRPr="003D1FC9">
        <w:rPr>
          <w:rFonts w:asciiTheme="majorHAnsi" w:hAnsiTheme="majorHAnsi"/>
          <w:b/>
        </w:rPr>
        <w:t>work</w:t>
      </w:r>
    </w:p>
    <w:p w14:paraId="1CC0114C" w14:textId="03070145" w:rsidR="007F2FFA" w:rsidRDefault="00BF6E06" w:rsidP="007F2FFA">
      <w:pPr>
        <w:spacing w:after="0" w:line="240" w:lineRule="auto"/>
        <w:rPr>
          <w:rFonts w:asciiTheme="majorHAnsi" w:hAnsiTheme="majorHAnsi"/>
        </w:rPr>
      </w:pPr>
      <w:r w:rsidRPr="00A40E85">
        <w:rPr>
          <w:rFonts w:asciiTheme="majorHAnsi" w:hAnsiTheme="majorHAnsi"/>
        </w:rPr>
        <w:t>College</w:t>
      </w:r>
      <w:r w:rsidR="008E24D8" w:rsidRPr="00A40E85">
        <w:rPr>
          <w:rFonts w:asciiTheme="majorHAnsi" w:hAnsiTheme="majorHAnsi"/>
        </w:rPr>
        <w:t>s</w:t>
      </w:r>
      <w:r w:rsidRPr="00A40E85">
        <w:rPr>
          <w:rFonts w:asciiTheme="majorHAnsi" w:hAnsiTheme="majorHAnsi"/>
        </w:rPr>
        <w:t xml:space="preserve"> should provide sample </w:t>
      </w:r>
      <w:r w:rsidR="008E24D8" w:rsidRPr="00A40E85">
        <w:rPr>
          <w:rFonts w:asciiTheme="majorHAnsi" w:hAnsiTheme="majorHAnsi"/>
        </w:rPr>
        <w:t>coursework for t</w:t>
      </w:r>
      <w:r w:rsidR="00F578D0" w:rsidRPr="00A40E85">
        <w:rPr>
          <w:rFonts w:asciiTheme="majorHAnsi" w:hAnsiTheme="majorHAnsi"/>
        </w:rPr>
        <w:t xml:space="preserve">ransfer level composition courses including </w:t>
      </w:r>
      <w:r w:rsidR="003D1FC9">
        <w:rPr>
          <w:rFonts w:asciiTheme="majorHAnsi" w:hAnsiTheme="majorHAnsi"/>
        </w:rPr>
        <w:t>examples</w:t>
      </w:r>
      <w:r w:rsidR="00F578D0" w:rsidRPr="00A40E85">
        <w:rPr>
          <w:rFonts w:asciiTheme="majorHAnsi" w:hAnsiTheme="majorHAnsi"/>
        </w:rPr>
        <w:t xml:space="preserve"> from integrated reading</w:t>
      </w:r>
      <w:r w:rsidR="008E24D8" w:rsidRPr="00A40E85">
        <w:rPr>
          <w:rFonts w:asciiTheme="majorHAnsi" w:hAnsiTheme="majorHAnsi"/>
        </w:rPr>
        <w:t>,</w:t>
      </w:r>
      <w:r w:rsidR="00F578D0" w:rsidRPr="00A40E85">
        <w:rPr>
          <w:rFonts w:asciiTheme="majorHAnsi" w:hAnsiTheme="majorHAnsi"/>
        </w:rPr>
        <w:t xml:space="preserve"> writing, </w:t>
      </w:r>
      <w:r w:rsidR="006C7E94" w:rsidRPr="00A40E85">
        <w:rPr>
          <w:rFonts w:asciiTheme="majorHAnsi" w:hAnsiTheme="majorHAnsi" w:cstheme="minorHAnsi"/>
          <w:color w:val="212121"/>
          <w:shd w:val="clear" w:color="auto" w:fill="FFFFFF"/>
        </w:rPr>
        <w:t>English as a Second Language (ESL)</w:t>
      </w:r>
      <w:r w:rsidR="00F578D0" w:rsidRPr="00A40E85">
        <w:rPr>
          <w:rFonts w:asciiTheme="majorHAnsi" w:hAnsiTheme="majorHAnsi"/>
        </w:rPr>
        <w:t>, or other</w:t>
      </w:r>
      <w:r w:rsidR="008E24D8" w:rsidRPr="00A40E85">
        <w:rPr>
          <w:rFonts w:asciiTheme="majorHAnsi" w:hAnsiTheme="majorHAnsi"/>
        </w:rPr>
        <w:t xml:space="preserve"> appropriate coursework.  </w:t>
      </w:r>
      <w:r w:rsidR="003D1FC9">
        <w:rPr>
          <w:rFonts w:asciiTheme="majorHAnsi" w:hAnsiTheme="majorHAnsi"/>
        </w:rPr>
        <w:t xml:space="preserve">In addition, sample </w:t>
      </w:r>
      <w:r w:rsidR="003D1FC9" w:rsidRPr="00A40E85">
        <w:rPr>
          <w:rFonts w:asciiTheme="majorHAnsi" w:hAnsiTheme="majorHAnsi"/>
        </w:rPr>
        <w:t>mathematics</w:t>
      </w:r>
      <w:r w:rsidR="003D1FC9">
        <w:rPr>
          <w:rFonts w:asciiTheme="majorHAnsi" w:hAnsiTheme="majorHAnsi"/>
        </w:rPr>
        <w:t xml:space="preserve"> work for e</w:t>
      </w:r>
      <w:r w:rsidR="008E24D8" w:rsidRPr="00A40E85">
        <w:rPr>
          <w:rFonts w:asciiTheme="majorHAnsi" w:hAnsiTheme="majorHAnsi"/>
        </w:rPr>
        <w:t>ntry</w:t>
      </w:r>
      <w:r w:rsidR="00696F32" w:rsidRPr="00A40E85">
        <w:rPr>
          <w:rFonts w:asciiTheme="majorHAnsi" w:hAnsiTheme="majorHAnsi"/>
        </w:rPr>
        <w:t xml:space="preserve"> level skills </w:t>
      </w:r>
      <w:r w:rsidR="008E24D8" w:rsidRPr="00A40E85">
        <w:rPr>
          <w:rFonts w:asciiTheme="majorHAnsi" w:hAnsiTheme="majorHAnsi"/>
        </w:rPr>
        <w:t xml:space="preserve">beginning </w:t>
      </w:r>
      <w:r w:rsidR="003D1FC9">
        <w:rPr>
          <w:rFonts w:asciiTheme="majorHAnsi" w:hAnsiTheme="majorHAnsi"/>
        </w:rPr>
        <w:t>with the graduation requirements for quantitative reasoning</w:t>
      </w:r>
      <w:r w:rsidR="008E24D8" w:rsidRPr="00A40E85">
        <w:rPr>
          <w:rFonts w:asciiTheme="majorHAnsi" w:hAnsiTheme="majorHAnsi"/>
        </w:rPr>
        <w:t>, career technical courses and sequential mathematics courses</w:t>
      </w:r>
      <w:r w:rsidR="003D1FC9">
        <w:rPr>
          <w:rFonts w:asciiTheme="majorHAnsi" w:hAnsiTheme="majorHAnsi"/>
        </w:rPr>
        <w:t>, should be provided, recognizin</w:t>
      </w:r>
      <w:r w:rsidR="003D1FC9" w:rsidRPr="007F2FFA">
        <w:rPr>
          <w:rFonts w:asciiTheme="majorHAnsi" w:hAnsiTheme="majorHAnsi"/>
        </w:rPr>
        <w:t>g</w:t>
      </w:r>
      <w:r w:rsidR="00A40E85" w:rsidRPr="007F2FFA">
        <w:rPr>
          <w:rFonts w:asciiTheme="majorHAnsi" w:hAnsiTheme="majorHAnsi"/>
        </w:rPr>
        <w:t xml:space="preserve"> students may enter higher than the entry level courses based upon previous </w:t>
      </w:r>
      <w:r w:rsidR="003D1FC9" w:rsidRPr="007F2FFA">
        <w:rPr>
          <w:rFonts w:asciiTheme="majorHAnsi" w:hAnsiTheme="majorHAnsi"/>
        </w:rPr>
        <w:t>work.</w:t>
      </w:r>
      <w:r w:rsidR="00527792" w:rsidRPr="007F2FFA">
        <w:rPr>
          <w:rFonts w:asciiTheme="majorHAnsi" w:hAnsiTheme="majorHAnsi"/>
        </w:rPr>
        <w:t xml:space="preserve"> </w:t>
      </w:r>
      <w:r w:rsidR="007F2FFA" w:rsidRPr="007F2FFA">
        <w:rPr>
          <w:rFonts w:asciiTheme="majorHAnsi" w:hAnsiTheme="majorHAnsi"/>
        </w:rPr>
        <w:t xml:space="preserve">These </w:t>
      </w:r>
      <w:r w:rsidR="007F2FFA" w:rsidRPr="007F2FFA">
        <w:rPr>
          <w:rFonts w:asciiTheme="majorHAnsi" w:hAnsiTheme="majorHAnsi"/>
        </w:rPr>
        <w:lastRenderedPageBreak/>
        <w:t>samples do not serve as an evaluative measure, but rather to provide details for the students to select a placement, get brush up work done before class, and consider the time commitment and expectations of courses and programs.</w:t>
      </w:r>
    </w:p>
    <w:p w14:paraId="2645B426" w14:textId="77777777" w:rsidR="003D1FC9" w:rsidRPr="00A40E85" w:rsidRDefault="003D1FC9" w:rsidP="00F578D0">
      <w:pPr>
        <w:spacing w:after="0" w:line="240" w:lineRule="auto"/>
        <w:rPr>
          <w:rFonts w:asciiTheme="majorHAnsi" w:hAnsiTheme="majorHAnsi"/>
        </w:rPr>
      </w:pPr>
    </w:p>
    <w:p w14:paraId="404136C5" w14:textId="77777777" w:rsidR="00F578D0" w:rsidRPr="003D1FC9" w:rsidRDefault="00F578D0" w:rsidP="00F578D0">
      <w:pPr>
        <w:spacing w:after="0" w:line="240" w:lineRule="auto"/>
        <w:rPr>
          <w:rFonts w:asciiTheme="majorHAnsi" w:hAnsiTheme="majorHAnsi"/>
          <w:b/>
        </w:rPr>
      </w:pPr>
      <w:r w:rsidRPr="003D1FC9">
        <w:rPr>
          <w:rFonts w:asciiTheme="majorHAnsi" w:hAnsiTheme="majorHAnsi"/>
          <w:b/>
        </w:rPr>
        <w:t>Step 5: Review previous coursework in high school, at other colleges or through testing</w:t>
      </w:r>
    </w:p>
    <w:p w14:paraId="20DEF205" w14:textId="77777777" w:rsidR="00F578D0" w:rsidRPr="00A40E85" w:rsidRDefault="00F578D0" w:rsidP="00F578D0">
      <w:pPr>
        <w:pStyle w:val="ListParagraph"/>
        <w:numPr>
          <w:ilvl w:val="0"/>
          <w:numId w:val="5"/>
        </w:numPr>
        <w:spacing w:after="0" w:line="240" w:lineRule="auto"/>
        <w:rPr>
          <w:rFonts w:asciiTheme="majorHAnsi" w:hAnsiTheme="majorHAnsi"/>
        </w:rPr>
      </w:pPr>
      <w:r w:rsidRPr="00A40E85">
        <w:rPr>
          <w:rFonts w:asciiTheme="majorHAnsi" w:hAnsiTheme="majorHAnsi"/>
        </w:rPr>
        <w:t>Students should examine their High School GPA</w:t>
      </w:r>
    </w:p>
    <w:p w14:paraId="23F7641D" w14:textId="1F321EE8" w:rsidR="00F578D0" w:rsidRPr="00A40E85" w:rsidRDefault="00F578D0" w:rsidP="00F578D0">
      <w:pPr>
        <w:pStyle w:val="ListParagraph"/>
        <w:numPr>
          <w:ilvl w:val="0"/>
          <w:numId w:val="5"/>
        </w:numPr>
        <w:spacing w:after="0" w:line="240" w:lineRule="auto"/>
        <w:rPr>
          <w:rFonts w:asciiTheme="majorHAnsi" w:hAnsiTheme="majorHAnsi"/>
        </w:rPr>
      </w:pPr>
      <w:r w:rsidRPr="00A40E85">
        <w:rPr>
          <w:rFonts w:asciiTheme="majorHAnsi" w:hAnsiTheme="majorHAnsi"/>
        </w:rPr>
        <w:t>Students should review any AP, CLEP or other diagnostic testing scores</w:t>
      </w:r>
      <w:r w:rsidR="008E24D8" w:rsidRPr="00A40E85">
        <w:rPr>
          <w:rFonts w:asciiTheme="majorHAnsi" w:hAnsiTheme="majorHAnsi"/>
        </w:rPr>
        <w:t xml:space="preserve"> e.g. EAP, SAT, ACT, etc</w:t>
      </w:r>
    </w:p>
    <w:p w14:paraId="64C86C26" w14:textId="6BC4BCC7" w:rsidR="00F578D0" w:rsidRPr="00A40E85" w:rsidRDefault="00F578D0" w:rsidP="00F578D0">
      <w:pPr>
        <w:pStyle w:val="ListParagraph"/>
        <w:numPr>
          <w:ilvl w:val="0"/>
          <w:numId w:val="5"/>
        </w:numPr>
        <w:spacing w:after="0" w:line="240" w:lineRule="auto"/>
        <w:rPr>
          <w:rFonts w:asciiTheme="majorHAnsi" w:hAnsiTheme="majorHAnsi"/>
        </w:rPr>
      </w:pPr>
      <w:r w:rsidRPr="00A40E85">
        <w:rPr>
          <w:rFonts w:asciiTheme="majorHAnsi" w:hAnsiTheme="majorHAnsi"/>
        </w:rPr>
        <w:t xml:space="preserve">Students should review </w:t>
      </w:r>
      <w:r w:rsidR="008E24D8" w:rsidRPr="00A40E85">
        <w:rPr>
          <w:rFonts w:asciiTheme="majorHAnsi" w:hAnsiTheme="majorHAnsi"/>
        </w:rPr>
        <w:t>completed</w:t>
      </w:r>
      <w:r w:rsidRPr="00A40E85">
        <w:rPr>
          <w:rFonts w:asciiTheme="majorHAnsi" w:hAnsiTheme="majorHAnsi"/>
        </w:rPr>
        <w:t xml:space="preserve"> coursework in English, </w:t>
      </w:r>
      <w:r w:rsidR="006C7E94" w:rsidRPr="00A40E85">
        <w:rPr>
          <w:rFonts w:asciiTheme="majorHAnsi" w:hAnsiTheme="majorHAnsi" w:cstheme="minorHAnsi"/>
          <w:color w:val="212121"/>
          <w:shd w:val="clear" w:color="auto" w:fill="FFFFFF"/>
        </w:rPr>
        <w:t xml:space="preserve">English as a Second Language (ESL) </w:t>
      </w:r>
      <w:r w:rsidRPr="00A40E85">
        <w:rPr>
          <w:rFonts w:asciiTheme="majorHAnsi" w:hAnsiTheme="majorHAnsi"/>
        </w:rPr>
        <w:t xml:space="preserve"> and </w:t>
      </w:r>
      <w:r w:rsidR="006C7E94" w:rsidRPr="00A40E85">
        <w:rPr>
          <w:rFonts w:asciiTheme="majorHAnsi" w:hAnsiTheme="majorHAnsi"/>
        </w:rPr>
        <w:t>Mathematics</w:t>
      </w:r>
    </w:p>
    <w:p w14:paraId="43B96783" w14:textId="77777777" w:rsidR="00696F32" w:rsidRPr="00A40E85" w:rsidRDefault="00696F32" w:rsidP="00696F32">
      <w:pPr>
        <w:pStyle w:val="ListParagraph"/>
        <w:spacing w:after="0" w:line="240" w:lineRule="auto"/>
        <w:rPr>
          <w:rFonts w:asciiTheme="majorHAnsi" w:hAnsiTheme="majorHAnsi"/>
        </w:rPr>
      </w:pPr>
    </w:p>
    <w:p w14:paraId="68796355" w14:textId="758B174D" w:rsidR="00696F32" w:rsidRPr="003D1FC9" w:rsidRDefault="00696F32" w:rsidP="00696F32">
      <w:pPr>
        <w:spacing w:after="0" w:line="240" w:lineRule="auto"/>
        <w:rPr>
          <w:rFonts w:asciiTheme="majorHAnsi" w:hAnsiTheme="majorHAnsi"/>
          <w:b/>
        </w:rPr>
      </w:pPr>
      <w:r w:rsidRPr="003D1FC9">
        <w:rPr>
          <w:rFonts w:asciiTheme="majorHAnsi" w:hAnsiTheme="majorHAnsi"/>
          <w:b/>
        </w:rPr>
        <w:t>Step 6: Identify Potential GE pathway</w:t>
      </w:r>
      <w:r w:rsidR="008E24D8" w:rsidRPr="003D1FC9">
        <w:rPr>
          <w:rFonts w:asciiTheme="majorHAnsi" w:hAnsiTheme="majorHAnsi"/>
          <w:b/>
        </w:rPr>
        <w:t xml:space="preserve"> to clarify requirements meeting graduation and transfer</w:t>
      </w:r>
    </w:p>
    <w:p w14:paraId="13E4A77F" w14:textId="77777777" w:rsidR="00696F32" w:rsidRPr="00A40E85" w:rsidRDefault="00696F32" w:rsidP="00696F32">
      <w:pPr>
        <w:spacing w:after="0" w:line="240" w:lineRule="auto"/>
        <w:rPr>
          <w:rFonts w:asciiTheme="majorHAnsi" w:hAnsiTheme="majorHAnsi"/>
        </w:rPr>
      </w:pPr>
      <w:r w:rsidRPr="00A40E85">
        <w:rPr>
          <w:rFonts w:asciiTheme="majorHAnsi" w:hAnsiTheme="majorHAnsi"/>
        </w:rPr>
        <w:t>Does the student intend to complete coursework to transfer?</w:t>
      </w:r>
    </w:p>
    <w:p w14:paraId="45FA7107" w14:textId="77777777" w:rsidR="00696F32" w:rsidRPr="00A40E85" w:rsidRDefault="00696F32" w:rsidP="00696F32">
      <w:pPr>
        <w:pStyle w:val="ListParagraph"/>
        <w:numPr>
          <w:ilvl w:val="0"/>
          <w:numId w:val="2"/>
        </w:numPr>
        <w:spacing w:after="0" w:line="240" w:lineRule="auto"/>
        <w:rPr>
          <w:rFonts w:asciiTheme="majorHAnsi" w:hAnsiTheme="majorHAnsi"/>
        </w:rPr>
      </w:pPr>
      <w:r w:rsidRPr="00A40E85">
        <w:rPr>
          <w:rFonts w:asciiTheme="majorHAnsi" w:hAnsiTheme="majorHAnsi"/>
        </w:rPr>
        <w:t>Transfer to CSU or Private – CSU Breadth or IGETC – ADT (Associate Degree for Transfer)</w:t>
      </w:r>
    </w:p>
    <w:p w14:paraId="33CEF4BB" w14:textId="77777777" w:rsidR="00696F32" w:rsidRPr="00A40E85" w:rsidRDefault="00696F32" w:rsidP="00696F32">
      <w:pPr>
        <w:pStyle w:val="ListParagraph"/>
        <w:numPr>
          <w:ilvl w:val="0"/>
          <w:numId w:val="2"/>
        </w:numPr>
        <w:spacing w:after="0" w:line="240" w:lineRule="auto"/>
        <w:rPr>
          <w:rFonts w:asciiTheme="majorHAnsi" w:hAnsiTheme="majorHAnsi"/>
        </w:rPr>
      </w:pPr>
      <w:r w:rsidRPr="00A40E85">
        <w:rPr>
          <w:rFonts w:asciiTheme="majorHAnsi" w:hAnsiTheme="majorHAnsi"/>
        </w:rPr>
        <w:t>Transfer to UC – IGETC and Transfer Agreement</w:t>
      </w:r>
    </w:p>
    <w:p w14:paraId="77E9CFCF" w14:textId="77777777" w:rsidR="00BE30CE" w:rsidRPr="00A40E85" w:rsidRDefault="00BE30CE" w:rsidP="0002161D">
      <w:pPr>
        <w:spacing w:after="0" w:line="240" w:lineRule="auto"/>
        <w:rPr>
          <w:rFonts w:asciiTheme="majorHAnsi" w:hAnsiTheme="majorHAnsi"/>
        </w:rPr>
      </w:pPr>
    </w:p>
    <w:p w14:paraId="5FD62884" w14:textId="4355049E" w:rsidR="0002161D" w:rsidRPr="00A40E85" w:rsidRDefault="00696F32" w:rsidP="0002161D">
      <w:pPr>
        <w:spacing w:after="0" w:line="240" w:lineRule="auto"/>
        <w:rPr>
          <w:rFonts w:asciiTheme="majorHAnsi" w:hAnsiTheme="majorHAnsi"/>
          <w:sz w:val="23"/>
          <w:szCs w:val="23"/>
        </w:rPr>
      </w:pPr>
      <w:r w:rsidRPr="0000348F">
        <w:rPr>
          <w:rFonts w:asciiTheme="majorHAnsi" w:hAnsiTheme="majorHAnsi"/>
          <w:b/>
        </w:rPr>
        <w:t>Step 7</w:t>
      </w:r>
      <w:r w:rsidR="0002161D" w:rsidRPr="0000348F">
        <w:rPr>
          <w:rFonts w:asciiTheme="majorHAnsi" w:hAnsiTheme="majorHAnsi"/>
          <w:b/>
        </w:rPr>
        <w:t xml:space="preserve">: </w:t>
      </w:r>
      <w:r w:rsidR="008E24D8" w:rsidRPr="0000348F">
        <w:rPr>
          <w:rFonts w:asciiTheme="majorHAnsi" w:hAnsiTheme="majorHAnsi"/>
          <w:b/>
        </w:rPr>
        <w:t>Review the D</w:t>
      </w:r>
      <w:r w:rsidR="0002161D" w:rsidRPr="0000348F">
        <w:rPr>
          <w:rFonts w:asciiTheme="majorHAnsi" w:hAnsiTheme="majorHAnsi"/>
          <w:b/>
        </w:rPr>
        <w:t>efault placement rules</w:t>
      </w:r>
      <w:r w:rsidR="00D63FEC" w:rsidRPr="0000348F">
        <w:rPr>
          <w:rFonts w:asciiTheme="majorHAnsi" w:hAnsiTheme="majorHAnsi"/>
          <w:b/>
        </w:rPr>
        <w:t xml:space="preserve"> or locally determined placement rules.</w:t>
      </w:r>
      <w:r w:rsidR="00D63FEC" w:rsidRPr="00A40E85">
        <w:rPr>
          <w:rFonts w:asciiTheme="majorHAnsi" w:hAnsiTheme="majorHAnsi"/>
        </w:rPr>
        <w:t xml:space="preserve">  The Default rules are below.</w:t>
      </w:r>
      <w:r w:rsidR="0002161D" w:rsidRPr="00A40E85">
        <w:rPr>
          <w:rFonts w:asciiTheme="majorHAnsi" w:hAnsiTheme="majorHAnsi"/>
        </w:rPr>
        <w:t xml:space="preserve"> (</w:t>
      </w:r>
      <w:r w:rsidR="0002161D" w:rsidRPr="00A40E85">
        <w:rPr>
          <w:rFonts w:asciiTheme="majorHAnsi" w:hAnsiTheme="majorHAnsi"/>
          <w:sz w:val="23"/>
          <w:szCs w:val="23"/>
        </w:rPr>
        <w:t xml:space="preserve">The </w:t>
      </w:r>
      <w:r w:rsidR="006C7E94" w:rsidRPr="00A40E85">
        <w:rPr>
          <w:rFonts w:asciiTheme="majorHAnsi" w:hAnsiTheme="majorHAnsi" w:cstheme="minorHAnsi"/>
          <w:color w:val="212121"/>
          <w:shd w:val="clear" w:color="auto" w:fill="FFFFFF"/>
        </w:rPr>
        <w:t>English as a Second Language (ESL</w:t>
      </w:r>
      <w:r w:rsidR="008E24D8" w:rsidRPr="00A40E85">
        <w:rPr>
          <w:rFonts w:asciiTheme="majorHAnsi" w:hAnsiTheme="majorHAnsi" w:cstheme="minorHAnsi"/>
          <w:color w:val="212121"/>
          <w:shd w:val="clear" w:color="auto" w:fill="FFFFFF"/>
        </w:rPr>
        <w:t xml:space="preserve">) </w:t>
      </w:r>
      <w:r w:rsidR="008E24D8" w:rsidRPr="00A40E85">
        <w:rPr>
          <w:rFonts w:asciiTheme="majorHAnsi" w:hAnsiTheme="majorHAnsi"/>
          <w:sz w:val="23"/>
          <w:szCs w:val="23"/>
        </w:rPr>
        <w:t>and</w:t>
      </w:r>
      <w:r w:rsidR="0002161D" w:rsidRPr="00A40E85">
        <w:rPr>
          <w:rFonts w:asciiTheme="majorHAnsi" w:hAnsiTheme="majorHAnsi"/>
          <w:sz w:val="23"/>
          <w:szCs w:val="23"/>
        </w:rPr>
        <w:t xml:space="preserve"> English rules are similar in terms of the GPA Decision Rules)</w:t>
      </w:r>
      <w:r w:rsidR="00BE30CE" w:rsidRPr="00A40E85">
        <w:rPr>
          <w:rFonts w:asciiTheme="majorHAnsi" w:hAnsiTheme="majorHAnsi"/>
          <w:sz w:val="23"/>
          <w:szCs w:val="23"/>
        </w:rPr>
        <w:t xml:space="preserve">. </w:t>
      </w:r>
      <w:r w:rsidR="008E24D8" w:rsidRPr="00A40E85">
        <w:rPr>
          <w:rFonts w:asciiTheme="majorHAnsi" w:hAnsiTheme="majorHAnsi"/>
          <w:sz w:val="23"/>
          <w:szCs w:val="23"/>
        </w:rPr>
        <w:t xml:space="preserve">Note: </w:t>
      </w:r>
      <w:r w:rsidR="00BE30CE" w:rsidRPr="00A40E85">
        <w:rPr>
          <w:rFonts w:asciiTheme="majorHAnsi" w:hAnsiTheme="majorHAnsi"/>
          <w:sz w:val="23"/>
          <w:szCs w:val="23"/>
        </w:rPr>
        <w:t>Each high school GPA is associated with the predicted success rate.</w:t>
      </w:r>
    </w:p>
    <w:p w14:paraId="13B379B7" w14:textId="77777777" w:rsidR="00A40E85" w:rsidRPr="00A40E85" w:rsidRDefault="00A40E85" w:rsidP="0002161D">
      <w:pPr>
        <w:spacing w:after="0" w:line="240" w:lineRule="auto"/>
        <w:rPr>
          <w:rFonts w:asciiTheme="majorHAnsi" w:hAnsiTheme="majorHAnsi"/>
        </w:rPr>
      </w:pPr>
    </w:p>
    <w:tbl>
      <w:tblPr>
        <w:tblStyle w:val="TableGrid"/>
        <w:tblW w:w="9918" w:type="dxa"/>
        <w:tblLook w:val="04A0" w:firstRow="1" w:lastRow="0" w:firstColumn="1" w:lastColumn="0" w:noHBand="0" w:noVBand="1"/>
      </w:tblPr>
      <w:tblGrid>
        <w:gridCol w:w="3798"/>
        <w:gridCol w:w="6120"/>
      </w:tblGrid>
      <w:tr w:rsidR="00BE30CE" w:rsidRPr="003D1FC9" w14:paraId="1565CC85" w14:textId="77777777" w:rsidTr="008E24D8">
        <w:tc>
          <w:tcPr>
            <w:tcW w:w="3798" w:type="dxa"/>
            <w:shd w:val="clear" w:color="auto" w:fill="808080" w:themeFill="background1" w:themeFillShade="80"/>
          </w:tcPr>
          <w:p w14:paraId="35DD3495" w14:textId="77777777"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High School Performance Metric for English</w:t>
            </w:r>
          </w:p>
        </w:tc>
        <w:tc>
          <w:tcPr>
            <w:tcW w:w="6120" w:type="dxa"/>
            <w:shd w:val="clear" w:color="auto" w:fill="808080" w:themeFill="background1" w:themeFillShade="80"/>
          </w:tcPr>
          <w:p w14:paraId="02370FCD" w14:textId="77777777"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Recommended AB 705 Placement for English</w:t>
            </w:r>
          </w:p>
        </w:tc>
      </w:tr>
      <w:tr w:rsidR="0002161D" w:rsidRPr="003D1FC9" w14:paraId="775F66E2" w14:textId="77777777" w:rsidTr="008E24D8">
        <w:tc>
          <w:tcPr>
            <w:tcW w:w="3798" w:type="dxa"/>
          </w:tcPr>
          <w:p w14:paraId="7D63C1C3"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 2.6</w:t>
            </w:r>
          </w:p>
          <w:p w14:paraId="770D569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Success rate = 78.6%</w:t>
            </w:r>
          </w:p>
        </w:tc>
        <w:tc>
          <w:tcPr>
            <w:tcW w:w="6120" w:type="dxa"/>
          </w:tcPr>
          <w:p w14:paraId="55BED4E9"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Transfer-Level English Composition</w:t>
            </w:r>
          </w:p>
          <w:p w14:paraId="14FADF9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No additional academic or concurrent support required</w:t>
            </w:r>
          </w:p>
        </w:tc>
      </w:tr>
      <w:tr w:rsidR="0002161D" w:rsidRPr="003D1FC9" w14:paraId="0BE4DC22" w14:textId="77777777" w:rsidTr="008E24D8">
        <w:tc>
          <w:tcPr>
            <w:tcW w:w="3798" w:type="dxa"/>
          </w:tcPr>
          <w:p w14:paraId="21FAE88F"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1.9 - 2.6</w:t>
            </w:r>
          </w:p>
          <w:p w14:paraId="31B8848D"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 57.7%  </w:t>
            </w:r>
          </w:p>
        </w:tc>
        <w:tc>
          <w:tcPr>
            <w:tcW w:w="6120" w:type="dxa"/>
          </w:tcPr>
          <w:p w14:paraId="0EC1DD75"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Transfer-Level English Composition</w:t>
            </w:r>
          </w:p>
          <w:p w14:paraId="3E5988E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Additional academic and concurrent support recommended</w:t>
            </w:r>
          </w:p>
        </w:tc>
      </w:tr>
      <w:tr w:rsidR="0002161D" w:rsidRPr="003D1FC9" w14:paraId="193AFCCB" w14:textId="77777777" w:rsidTr="008E24D8">
        <w:tc>
          <w:tcPr>
            <w:tcW w:w="3798" w:type="dxa"/>
          </w:tcPr>
          <w:p w14:paraId="65DDC743"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&lt; 1.9</w:t>
            </w:r>
          </w:p>
          <w:p w14:paraId="0832370D"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 42.6% </w:t>
            </w:r>
          </w:p>
        </w:tc>
        <w:tc>
          <w:tcPr>
            <w:tcW w:w="6120" w:type="dxa"/>
          </w:tcPr>
          <w:p w14:paraId="09769BCF"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Transfer-Level English Composition</w:t>
            </w:r>
          </w:p>
          <w:p w14:paraId="2643FC83"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Additional academic and concurrent support strongly recommended </w:t>
            </w:r>
          </w:p>
        </w:tc>
      </w:tr>
      <w:tr w:rsidR="00BE30CE" w:rsidRPr="003D1FC9" w14:paraId="6577D3F4" w14:textId="77777777" w:rsidTr="008E24D8">
        <w:tc>
          <w:tcPr>
            <w:tcW w:w="3798" w:type="dxa"/>
            <w:shd w:val="clear" w:color="auto" w:fill="808080" w:themeFill="background1" w:themeFillShade="80"/>
          </w:tcPr>
          <w:p w14:paraId="0700AB00" w14:textId="3E752B60"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 xml:space="preserve">High School Performance Metric for Statistics/Liberal Arts </w:t>
            </w:r>
            <w:r w:rsidR="006C7E94" w:rsidRPr="003D1FC9">
              <w:rPr>
                <w:rFonts w:asciiTheme="minorHAnsi" w:hAnsiTheme="minorHAnsi" w:cstheme="minorHAnsi"/>
                <w:b/>
                <w:bCs/>
                <w:color w:val="auto"/>
                <w:sz w:val="20"/>
                <w:szCs w:val="20"/>
              </w:rPr>
              <w:t>Mathematics</w:t>
            </w:r>
          </w:p>
        </w:tc>
        <w:tc>
          <w:tcPr>
            <w:tcW w:w="6120" w:type="dxa"/>
            <w:shd w:val="clear" w:color="auto" w:fill="808080" w:themeFill="background1" w:themeFillShade="80"/>
          </w:tcPr>
          <w:p w14:paraId="3FACDBC4" w14:textId="300DD6EB"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 xml:space="preserve">Recommended AB 705 Placement for Statistics/Liberal Arts </w:t>
            </w:r>
            <w:r w:rsidR="006C7E94" w:rsidRPr="003D1FC9">
              <w:rPr>
                <w:rFonts w:asciiTheme="minorHAnsi" w:hAnsiTheme="minorHAnsi" w:cstheme="minorHAnsi"/>
                <w:b/>
                <w:bCs/>
                <w:color w:val="auto"/>
                <w:sz w:val="20"/>
                <w:szCs w:val="20"/>
              </w:rPr>
              <w:t>Mathematics</w:t>
            </w:r>
          </w:p>
        </w:tc>
      </w:tr>
      <w:tr w:rsidR="0002161D" w:rsidRPr="003D1FC9" w14:paraId="7E25C94F" w14:textId="77777777" w:rsidTr="008E24D8">
        <w:tc>
          <w:tcPr>
            <w:tcW w:w="3798" w:type="dxa"/>
          </w:tcPr>
          <w:p w14:paraId="410B2B1B"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 3.0</w:t>
            </w:r>
          </w:p>
          <w:p w14:paraId="6481812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Success rate = 75%</w:t>
            </w:r>
          </w:p>
        </w:tc>
        <w:tc>
          <w:tcPr>
            <w:tcW w:w="6120" w:type="dxa"/>
          </w:tcPr>
          <w:p w14:paraId="57438C0E" w14:textId="1DFAD56E"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Statistics/Liberal Arts </w:t>
            </w:r>
            <w:r w:rsidR="006C7E94" w:rsidRPr="003D1FC9">
              <w:rPr>
                <w:rFonts w:asciiTheme="minorHAnsi" w:hAnsiTheme="minorHAnsi" w:cstheme="minorHAnsi"/>
                <w:b/>
                <w:bCs/>
                <w:sz w:val="20"/>
                <w:szCs w:val="20"/>
              </w:rPr>
              <w:t>Mathematics</w:t>
            </w:r>
          </w:p>
          <w:p w14:paraId="5560D059"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No additional academic or concurrent support required for students </w:t>
            </w:r>
          </w:p>
        </w:tc>
      </w:tr>
      <w:tr w:rsidR="0002161D" w:rsidRPr="003D1FC9" w14:paraId="2A131054" w14:textId="77777777" w:rsidTr="008E24D8">
        <w:tc>
          <w:tcPr>
            <w:tcW w:w="3798" w:type="dxa"/>
          </w:tcPr>
          <w:p w14:paraId="0AA8D9E2" w14:textId="77777777" w:rsidR="0002161D" w:rsidRPr="003D1FC9" w:rsidRDefault="0002161D" w:rsidP="00A40E85">
            <w:pPr>
              <w:rPr>
                <w:rFonts w:asciiTheme="minorHAnsi" w:hAnsiTheme="minorHAnsi" w:cstheme="minorHAnsi"/>
                <w:b/>
                <w:bCs/>
                <w:sz w:val="20"/>
                <w:szCs w:val="20"/>
              </w:rPr>
            </w:pPr>
            <w:r w:rsidRPr="003D1FC9">
              <w:rPr>
                <w:rFonts w:asciiTheme="minorHAnsi" w:hAnsiTheme="minorHAnsi" w:cstheme="minorHAnsi"/>
                <w:b/>
                <w:bCs/>
                <w:sz w:val="20"/>
                <w:szCs w:val="20"/>
              </w:rPr>
              <w:t>HSGPA from 2.3 to 2.9</w:t>
            </w:r>
          </w:p>
          <w:p w14:paraId="0ABB6216"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 50% </w:t>
            </w:r>
          </w:p>
        </w:tc>
        <w:tc>
          <w:tcPr>
            <w:tcW w:w="6120" w:type="dxa"/>
          </w:tcPr>
          <w:p w14:paraId="51AE9532" w14:textId="5498031A"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Statistics/Liberal Arts </w:t>
            </w:r>
            <w:r w:rsidR="006C7E94" w:rsidRPr="003D1FC9">
              <w:rPr>
                <w:rFonts w:asciiTheme="minorHAnsi" w:hAnsiTheme="minorHAnsi" w:cstheme="minorHAnsi"/>
                <w:b/>
                <w:bCs/>
                <w:sz w:val="20"/>
                <w:szCs w:val="20"/>
              </w:rPr>
              <w:t>Mathematics</w:t>
            </w:r>
          </w:p>
          <w:p w14:paraId="319E89A3"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Additional academic and concurrent support recommended for students </w:t>
            </w:r>
          </w:p>
        </w:tc>
      </w:tr>
      <w:tr w:rsidR="0002161D" w:rsidRPr="003D1FC9" w14:paraId="2C214BA2" w14:textId="77777777" w:rsidTr="008E24D8">
        <w:tc>
          <w:tcPr>
            <w:tcW w:w="3798" w:type="dxa"/>
          </w:tcPr>
          <w:p w14:paraId="38661F63"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&lt; 2.3</w:t>
            </w:r>
          </w:p>
          <w:p w14:paraId="40CEEDA2"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of 29% </w:t>
            </w:r>
          </w:p>
        </w:tc>
        <w:tc>
          <w:tcPr>
            <w:tcW w:w="6120" w:type="dxa"/>
          </w:tcPr>
          <w:p w14:paraId="5D7F436E" w14:textId="72DA7132"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Statistics/Liberal Arts </w:t>
            </w:r>
            <w:r w:rsidR="006C7E94" w:rsidRPr="003D1FC9">
              <w:rPr>
                <w:rFonts w:asciiTheme="minorHAnsi" w:hAnsiTheme="minorHAnsi" w:cstheme="minorHAnsi"/>
                <w:b/>
                <w:bCs/>
                <w:sz w:val="20"/>
                <w:szCs w:val="20"/>
              </w:rPr>
              <w:t>Mathematics</w:t>
            </w:r>
          </w:p>
          <w:p w14:paraId="764ABC28"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Additional academic and concurrent support strongly recommended for students</w:t>
            </w:r>
          </w:p>
        </w:tc>
      </w:tr>
      <w:tr w:rsidR="00BE30CE" w:rsidRPr="003D1FC9" w14:paraId="3404BD99" w14:textId="77777777" w:rsidTr="008E24D8">
        <w:tc>
          <w:tcPr>
            <w:tcW w:w="3798" w:type="dxa"/>
            <w:shd w:val="clear" w:color="auto" w:fill="808080" w:themeFill="background1" w:themeFillShade="80"/>
          </w:tcPr>
          <w:p w14:paraId="145F5E7F" w14:textId="4135787C"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 xml:space="preserve">High School Performance Metric BSTEM </w:t>
            </w:r>
            <w:r w:rsidR="006C7E94" w:rsidRPr="003D1FC9">
              <w:rPr>
                <w:rFonts w:asciiTheme="minorHAnsi" w:hAnsiTheme="minorHAnsi" w:cstheme="minorHAnsi"/>
                <w:b/>
                <w:bCs/>
                <w:color w:val="auto"/>
                <w:sz w:val="20"/>
                <w:szCs w:val="20"/>
              </w:rPr>
              <w:t>Mathematics</w:t>
            </w:r>
            <w:r w:rsidRPr="003D1FC9">
              <w:rPr>
                <w:rFonts w:asciiTheme="minorHAnsi" w:hAnsiTheme="minorHAnsi" w:cstheme="minorHAnsi"/>
                <w:b/>
                <w:bCs/>
                <w:color w:val="auto"/>
                <w:sz w:val="20"/>
                <w:szCs w:val="20"/>
                <w:vertAlign w:val="superscript"/>
              </w:rPr>
              <w:footnoteReference w:id="1"/>
            </w:r>
          </w:p>
        </w:tc>
        <w:tc>
          <w:tcPr>
            <w:tcW w:w="6120" w:type="dxa"/>
            <w:shd w:val="clear" w:color="auto" w:fill="808080" w:themeFill="background1" w:themeFillShade="80"/>
          </w:tcPr>
          <w:p w14:paraId="29B8DD0B" w14:textId="3B5C077C" w:rsidR="0002161D" w:rsidRPr="003D1FC9" w:rsidRDefault="0002161D" w:rsidP="00A40E85">
            <w:pPr>
              <w:rPr>
                <w:rFonts w:asciiTheme="minorHAnsi" w:hAnsiTheme="minorHAnsi" w:cstheme="minorHAnsi"/>
                <w:b/>
                <w:color w:val="auto"/>
                <w:sz w:val="20"/>
                <w:szCs w:val="20"/>
              </w:rPr>
            </w:pPr>
            <w:r w:rsidRPr="003D1FC9">
              <w:rPr>
                <w:rFonts w:asciiTheme="minorHAnsi" w:hAnsiTheme="minorHAnsi" w:cstheme="minorHAnsi"/>
                <w:b/>
                <w:bCs/>
                <w:color w:val="auto"/>
                <w:sz w:val="20"/>
                <w:szCs w:val="20"/>
              </w:rPr>
              <w:t xml:space="preserve">Recommended AB 705 Placement for BSTEM </w:t>
            </w:r>
            <w:r w:rsidR="006C7E94" w:rsidRPr="003D1FC9">
              <w:rPr>
                <w:rFonts w:asciiTheme="minorHAnsi" w:hAnsiTheme="minorHAnsi" w:cstheme="minorHAnsi"/>
                <w:b/>
                <w:bCs/>
                <w:color w:val="auto"/>
                <w:sz w:val="20"/>
                <w:szCs w:val="20"/>
              </w:rPr>
              <w:t>Mathematics</w:t>
            </w:r>
            <w:r w:rsidRPr="003D1FC9">
              <w:rPr>
                <w:rFonts w:asciiTheme="minorHAnsi" w:hAnsiTheme="minorHAnsi" w:cstheme="minorHAnsi"/>
                <w:b/>
                <w:bCs/>
                <w:color w:val="auto"/>
                <w:sz w:val="20"/>
                <w:szCs w:val="20"/>
              </w:rPr>
              <w:t xml:space="preserve"> </w:t>
            </w:r>
          </w:p>
        </w:tc>
      </w:tr>
      <w:tr w:rsidR="0002161D" w:rsidRPr="003D1FC9" w14:paraId="74CFD727" w14:textId="77777777" w:rsidTr="008E24D8">
        <w:tc>
          <w:tcPr>
            <w:tcW w:w="3798" w:type="dxa"/>
          </w:tcPr>
          <w:p w14:paraId="34EA5ED0" w14:textId="77777777" w:rsidR="0002161D" w:rsidRPr="003D1FC9" w:rsidRDefault="0002161D" w:rsidP="00A40E85">
            <w:pPr>
              <w:rPr>
                <w:rFonts w:asciiTheme="minorHAnsi" w:hAnsiTheme="minorHAnsi" w:cstheme="minorHAnsi"/>
                <w:b/>
                <w:bCs/>
                <w:sz w:val="20"/>
                <w:szCs w:val="20"/>
              </w:rPr>
            </w:pPr>
            <w:r w:rsidRPr="003D1FC9">
              <w:rPr>
                <w:rFonts w:asciiTheme="minorHAnsi" w:hAnsiTheme="minorHAnsi" w:cstheme="minorHAnsi"/>
                <w:b/>
                <w:bCs/>
                <w:sz w:val="20"/>
                <w:szCs w:val="20"/>
              </w:rPr>
              <w:t xml:space="preserve">HSGPA ≥ 3.4  OR </w:t>
            </w:r>
            <w:r w:rsidR="00BE30CE" w:rsidRPr="003D1FC9">
              <w:rPr>
                <w:rFonts w:asciiTheme="minorHAnsi" w:hAnsiTheme="minorHAnsi" w:cstheme="minorHAnsi"/>
                <w:b/>
                <w:bCs/>
                <w:sz w:val="20"/>
                <w:szCs w:val="20"/>
              </w:rPr>
              <w:t xml:space="preserve"> </w:t>
            </w:r>
            <w:r w:rsidRPr="003D1FC9">
              <w:rPr>
                <w:rFonts w:asciiTheme="minorHAnsi" w:hAnsiTheme="minorHAnsi" w:cstheme="minorHAnsi"/>
                <w:b/>
                <w:bCs/>
                <w:sz w:val="20"/>
                <w:szCs w:val="20"/>
              </w:rPr>
              <w:t>HSGPA ≥ 2.6 AND enrolled in a HS Calculus course</w:t>
            </w:r>
          </w:p>
          <w:p w14:paraId="1E442F4D"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Success rate = 75%</w:t>
            </w:r>
          </w:p>
        </w:tc>
        <w:tc>
          <w:tcPr>
            <w:tcW w:w="6120" w:type="dxa"/>
          </w:tcPr>
          <w:p w14:paraId="38D7595E" w14:textId="7AA29648"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BSTEM </w:t>
            </w:r>
            <w:r w:rsidR="006C7E94" w:rsidRPr="003D1FC9">
              <w:rPr>
                <w:rFonts w:asciiTheme="minorHAnsi" w:hAnsiTheme="minorHAnsi" w:cstheme="minorHAnsi"/>
                <w:b/>
                <w:bCs/>
                <w:sz w:val="20"/>
                <w:szCs w:val="20"/>
              </w:rPr>
              <w:t>Mathematics</w:t>
            </w:r>
          </w:p>
          <w:p w14:paraId="388C2E0F"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No additional academic or concurrent support required for students</w:t>
            </w:r>
          </w:p>
        </w:tc>
      </w:tr>
      <w:tr w:rsidR="0002161D" w:rsidRPr="003D1FC9" w14:paraId="0182F5E5" w14:textId="77777777" w:rsidTr="008E24D8">
        <w:tc>
          <w:tcPr>
            <w:tcW w:w="3798" w:type="dxa"/>
          </w:tcPr>
          <w:p w14:paraId="647DEDF9"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≥2.6 or Enrolled in HS Precalculus</w:t>
            </w:r>
          </w:p>
          <w:p w14:paraId="4E1F5E92"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 53% </w:t>
            </w:r>
          </w:p>
        </w:tc>
        <w:tc>
          <w:tcPr>
            <w:tcW w:w="6120" w:type="dxa"/>
          </w:tcPr>
          <w:p w14:paraId="247BDD35" w14:textId="4A6C338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BSTEM </w:t>
            </w:r>
            <w:r w:rsidR="006C7E94" w:rsidRPr="003D1FC9">
              <w:rPr>
                <w:rFonts w:asciiTheme="minorHAnsi" w:hAnsiTheme="minorHAnsi" w:cstheme="minorHAnsi"/>
                <w:b/>
                <w:bCs/>
                <w:sz w:val="20"/>
                <w:szCs w:val="20"/>
              </w:rPr>
              <w:t>Mathematics</w:t>
            </w:r>
          </w:p>
          <w:p w14:paraId="3EE20FBF"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Additional academic and concurrent support recommended for students</w:t>
            </w:r>
          </w:p>
        </w:tc>
      </w:tr>
      <w:tr w:rsidR="0002161D" w:rsidRPr="003D1FC9" w14:paraId="4D3773CF" w14:textId="77777777" w:rsidTr="008E24D8">
        <w:tc>
          <w:tcPr>
            <w:tcW w:w="3798" w:type="dxa"/>
          </w:tcPr>
          <w:p w14:paraId="18200E1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HSGPA ≤ 2.6 and no Precalculus</w:t>
            </w:r>
          </w:p>
          <w:p w14:paraId="20C83450"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Success rate = 28% </w:t>
            </w:r>
          </w:p>
        </w:tc>
        <w:tc>
          <w:tcPr>
            <w:tcW w:w="6120" w:type="dxa"/>
          </w:tcPr>
          <w:p w14:paraId="3B8B9E64" w14:textId="3401A71F"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b/>
                <w:bCs/>
                <w:sz w:val="20"/>
                <w:szCs w:val="20"/>
              </w:rPr>
              <w:t xml:space="preserve">Transfer-Level BSTEM </w:t>
            </w:r>
            <w:r w:rsidR="006C7E94" w:rsidRPr="003D1FC9">
              <w:rPr>
                <w:rFonts w:asciiTheme="minorHAnsi" w:hAnsiTheme="minorHAnsi" w:cstheme="minorHAnsi"/>
                <w:b/>
                <w:bCs/>
                <w:sz w:val="20"/>
                <w:szCs w:val="20"/>
              </w:rPr>
              <w:t>Mathematics</w:t>
            </w:r>
          </w:p>
          <w:p w14:paraId="764842CC" w14:textId="77777777" w:rsidR="0002161D" w:rsidRPr="003D1FC9" w:rsidRDefault="0002161D" w:rsidP="00A40E85">
            <w:pPr>
              <w:rPr>
                <w:rFonts w:asciiTheme="minorHAnsi" w:hAnsiTheme="minorHAnsi" w:cstheme="minorHAnsi"/>
                <w:sz w:val="20"/>
                <w:szCs w:val="20"/>
              </w:rPr>
            </w:pPr>
            <w:r w:rsidRPr="003D1FC9">
              <w:rPr>
                <w:rFonts w:asciiTheme="minorHAnsi" w:hAnsiTheme="minorHAnsi" w:cstheme="minorHAnsi"/>
                <w:sz w:val="20"/>
                <w:szCs w:val="20"/>
              </w:rPr>
              <w:t xml:space="preserve">Additional academic and concurrent support strongly recommended for students </w:t>
            </w:r>
          </w:p>
        </w:tc>
      </w:tr>
    </w:tbl>
    <w:p w14:paraId="6362B506" w14:textId="77777777" w:rsidR="0002161D" w:rsidRPr="00A40E85" w:rsidRDefault="0002161D" w:rsidP="00696F32">
      <w:pPr>
        <w:spacing w:after="0" w:line="240" w:lineRule="auto"/>
        <w:rPr>
          <w:rFonts w:asciiTheme="majorHAnsi" w:hAnsiTheme="majorHAnsi"/>
        </w:rPr>
      </w:pPr>
    </w:p>
    <w:sectPr w:rsidR="0002161D" w:rsidRPr="00A40E85" w:rsidSect="00486BFE">
      <w:headerReference w:type="default" r:id="rId8"/>
      <w:footerReference w:type="default" r:id="rId9"/>
      <w:pgSz w:w="12240" w:h="15840"/>
      <w:pgMar w:top="1260" w:right="1080" w:bottom="1267"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19D17" w14:textId="77777777" w:rsidR="004129F5" w:rsidRDefault="004129F5" w:rsidP="0002161D">
      <w:pPr>
        <w:spacing w:after="0" w:line="240" w:lineRule="auto"/>
      </w:pPr>
      <w:r>
        <w:separator/>
      </w:r>
    </w:p>
  </w:endnote>
  <w:endnote w:type="continuationSeparator" w:id="0">
    <w:p w14:paraId="68FE2151" w14:textId="77777777" w:rsidR="004129F5" w:rsidRDefault="004129F5" w:rsidP="0002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D3EE" w14:textId="1CE6692C" w:rsidR="00657567" w:rsidRDefault="00657567" w:rsidP="004D38CE">
    <w:pPr>
      <w:pStyle w:val="Footer"/>
      <w:jc w:val="center"/>
    </w:pPr>
    <w:r>
      <w:t xml:space="preserve">8/30/2018                                                                          ASCCC                                                                                  </w:t>
    </w:r>
    <w:sdt>
      <w:sdtPr>
        <w:id w:val="-768619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19397D4" w14:textId="16EFAD5F" w:rsidR="00657567" w:rsidRDefault="0065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01F01" w14:textId="77777777" w:rsidR="004129F5" w:rsidRDefault="004129F5" w:rsidP="0002161D">
      <w:pPr>
        <w:spacing w:after="0" w:line="240" w:lineRule="auto"/>
      </w:pPr>
      <w:r>
        <w:separator/>
      </w:r>
    </w:p>
  </w:footnote>
  <w:footnote w:type="continuationSeparator" w:id="0">
    <w:p w14:paraId="53F65402" w14:textId="77777777" w:rsidR="004129F5" w:rsidRDefault="004129F5" w:rsidP="0002161D">
      <w:pPr>
        <w:spacing w:after="0" w:line="240" w:lineRule="auto"/>
      </w:pPr>
      <w:r>
        <w:continuationSeparator/>
      </w:r>
    </w:p>
  </w:footnote>
  <w:footnote w:id="1">
    <w:p w14:paraId="1FC26C2B" w14:textId="77777777" w:rsidR="0002161D" w:rsidRPr="00AE5BBD" w:rsidRDefault="0002161D" w:rsidP="0002161D">
      <w:pPr>
        <w:rPr>
          <w:sz w:val="16"/>
          <w:szCs w:val="16"/>
        </w:rPr>
      </w:pPr>
      <w:r>
        <w:rPr>
          <w:rStyle w:val="FootnoteReference"/>
        </w:rPr>
        <w:footnoteRef/>
      </w:r>
      <w:r>
        <w:t xml:space="preserve"> </w:t>
      </w:r>
      <w:r w:rsidRPr="00AE5BBD">
        <w:rPr>
          <w:color w:val="1F3864"/>
          <w:sz w:val="16"/>
          <w:szCs w:val="16"/>
        </w:rPr>
        <w:t xml:space="preserve">Note: The BSTEM table presumes student completion of Intermediate Algebra/Algebra 2, an equivalent such as Integrated Math III, or higher course in high school.  </w:t>
      </w:r>
    </w:p>
    <w:p w14:paraId="00BC7841" w14:textId="77777777" w:rsidR="0002161D" w:rsidRDefault="0002161D" w:rsidP="000216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3A71" w14:textId="71940AD6" w:rsidR="00657567" w:rsidRDefault="00657567" w:rsidP="004D38CE">
    <w:pPr>
      <w:jc w:val="center"/>
    </w:pPr>
    <w:r w:rsidRPr="004D38CE">
      <w:rPr>
        <w:rFonts w:asciiTheme="majorHAnsi" w:hAnsiTheme="majorHAnsi"/>
        <w:sz w:val="28"/>
      </w:rPr>
      <w:t>The Basics of Guided Self-Placement</w:t>
    </w:r>
    <w:r>
      <w:rPr>
        <w:rFonts w:asciiTheme="majorHAnsi" w:hAnsiTheme="majorHAnsi"/>
        <w:sz w:val="28"/>
      </w:rPr>
      <w:t xml:space="preserve">    </w:t>
    </w:r>
    <w:r>
      <w:rPr>
        <w:noProof/>
      </w:rPr>
      <w:drawing>
        <wp:inline distT="0" distB="0" distL="0" distR="0" wp14:anchorId="17B3133E" wp14:editId="11AF87E3">
          <wp:extent cx="2223668" cy="29105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83A91.tmp"/>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61119" cy="309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E8A"/>
    <w:multiLevelType w:val="hybridMultilevel"/>
    <w:tmpl w:val="104ECA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8CC0922"/>
    <w:multiLevelType w:val="hybridMultilevel"/>
    <w:tmpl w:val="F82A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F5372"/>
    <w:multiLevelType w:val="hybridMultilevel"/>
    <w:tmpl w:val="2AA2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B4E93"/>
    <w:multiLevelType w:val="hybridMultilevel"/>
    <w:tmpl w:val="5C20AD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7FE4169"/>
    <w:multiLevelType w:val="hybridMultilevel"/>
    <w:tmpl w:val="47BC5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A28"/>
    <w:rsid w:val="0000348F"/>
    <w:rsid w:val="0002161D"/>
    <w:rsid w:val="000B4122"/>
    <w:rsid w:val="00123A28"/>
    <w:rsid w:val="001406BF"/>
    <w:rsid w:val="003B77C5"/>
    <w:rsid w:val="003D1FC9"/>
    <w:rsid w:val="003D3BE0"/>
    <w:rsid w:val="004129F5"/>
    <w:rsid w:val="00486BFE"/>
    <w:rsid w:val="004D38CE"/>
    <w:rsid w:val="00527792"/>
    <w:rsid w:val="00575A41"/>
    <w:rsid w:val="00657567"/>
    <w:rsid w:val="00696F32"/>
    <w:rsid w:val="006C7E94"/>
    <w:rsid w:val="007F2FFA"/>
    <w:rsid w:val="00827DB0"/>
    <w:rsid w:val="008E24D8"/>
    <w:rsid w:val="009856DB"/>
    <w:rsid w:val="00A40E85"/>
    <w:rsid w:val="00AD33E3"/>
    <w:rsid w:val="00BE30CE"/>
    <w:rsid w:val="00BF6E06"/>
    <w:rsid w:val="00CD7C57"/>
    <w:rsid w:val="00D63FEC"/>
    <w:rsid w:val="00E302EE"/>
    <w:rsid w:val="00E30C1D"/>
    <w:rsid w:val="00F5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E8335"/>
  <w15:docId w15:val="{8BB78801-F716-46F2-A994-A4E5762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28"/>
    <w:pPr>
      <w:ind w:left="720"/>
      <w:contextualSpacing/>
    </w:pPr>
  </w:style>
  <w:style w:type="table" w:styleId="TableGrid">
    <w:name w:val="Table Grid"/>
    <w:basedOn w:val="TableNormal"/>
    <w:uiPriority w:val="39"/>
    <w:rsid w:val="0002161D"/>
    <w:pPr>
      <w:spacing w:after="0" w:line="240" w:lineRule="auto"/>
    </w:pPr>
    <w:rPr>
      <w:rFonts w:ascii="Source Sans Pro" w:hAnsi="Source Sans Pro"/>
      <w:color w:val="555759"/>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2161D"/>
    <w:pPr>
      <w:suppressAutoHyphens/>
      <w:spacing w:after="0" w:line="240" w:lineRule="auto"/>
      <w:ind w:left="115" w:hanging="115"/>
    </w:pPr>
    <w:rPr>
      <w:rFonts w:ascii="Source Sans Pro" w:hAnsi="Source Sans Pro"/>
      <w:color w:val="555759"/>
      <w:spacing w:val="4"/>
      <w:sz w:val="18"/>
      <w:szCs w:val="20"/>
    </w:rPr>
  </w:style>
  <w:style w:type="character" w:customStyle="1" w:styleId="FootnoteTextChar">
    <w:name w:val="Footnote Text Char"/>
    <w:basedOn w:val="DefaultParagraphFont"/>
    <w:link w:val="FootnoteText"/>
    <w:uiPriority w:val="99"/>
    <w:rsid w:val="0002161D"/>
    <w:rPr>
      <w:rFonts w:ascii="Source Sans Pro" w:hAnsi="Source Sans Pro"/>
      <w:color w:val="555759"/>
      <w:spacing w:val="4"/>
      <w:sz w:val="18"/>
      <w:szCs w:val="20"/>
    </w:rPr>
  </w:style>
  <w:style w:type="character" w:styleId="FootnoteReference">
    <w:name w:val="footnote reference"/>
    <w:basedOn w:val="FootnoteTextChar"/>
    <w:uiPriority w:val="99"/>
    <w:rsid w:val="0002161D"/>
    <w:rPr>
      <w:rFonts w:ascii="Source Sans Pro" w:hAnsi="Source Sans Pro"/>
      <w:caps w:val="0"/>
      <w:smallCaps w:val="0"/>
      <w:strike w:val="0"/>
      <w:dstrike w:val="0"/>
      <w:vanish w:val="0"/>
      <w:color w:val="555759"/>
      <w:spacing w:val="4"/>
      <w:position w:val="6"/>
      <w:sz w:val="18"/>
      <w:szCs w:val="20"/>
      <w:u w:val="none"/>
      <w:vertAlign w:val="superscript"/>
    </w:rPr>
  </w:style>
  <w:style w:type="paragraph" w:styleId="BalloonText">
    <w:name w:val="Balloon Text"/>
    <w:basedOn w:val="Normal"/>
    <w:link w:val="BalloonTextChar"/>
    <w:uiPriority w:val="99"/>
    <w:semiHidden/>
    <w:unhideWhenUsed/>
    <w:rsid w:val="00D63FE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FEC"/>
    <w:rPr>
      <w:rFonts w:ascii="Times New Roman" w:hAnsi="Times New Roman" w:cs="Times New Roman"/>
      <w:sz w:val="18"/>
      <w:szCs w:val="18"/>
    </w:rPr>
  </w:style>
  <w:style w:type="paragraph" w:styleId="Header">
    <w:name w:val="header"/>
    <w:basedOn w:val="Normal"/>
    <w:link w:val="HeaderChar"/>
    <w:uiPriority w:val="99"/>
    <w:unhideWhenUsed/>
    <w:rsid w:val="00657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567"/>
  </w:style>
  <w:style w:type="paragraph" w:styleId="Footer">
    <w:name w:val="footer"/>
    <w:basedOn w:val="Normal"/>
    <w:link w:val="FooterChar"/>
    <w:uiPriority w:val="99"/>
    <w:unhideWhenUsed/>
    <w:rsid w:val="00657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87"/>
    <w:rsid w:val="00FD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9FA9DD56B44B60854A33DE5B912103">
    <w:name w:val="739FA9DD56B44B60854A33DE5B912103"/>
    <w:rsid w:val="00FD5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B947-CEC2-40F5-A333-67980757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dc:creator>
  <cp:lastModifiedBy>Janet Fulks</cp:lastModifiedBy>
  <cp:revision>2</cp:revision>
  <dcterms:created xsi:type="dcterms:W3CDTF">2018-08-30T22:03:00Z</dcterms:created>
  <dcterms:modified xsi:type="dcterms:W3CDTF">2018-08-30T22:03:00Z</dcterms:modified>
</cp:coreProperties>
</file>