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11A4F86E"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954B5D">
        <w:rPr>
          <w:rFonts w:ascii="Arial" w:eastAsia="Calibri" w:hAnsi="Arial" w:cs="Arial"/>
        </w:rPr>
        <w:t>March</w:t>
      </w:r>
      <w:r w:rsidR="00046923">
        <w:rPr>
          <w:rFonts w:ascii="Arial" w:eastAsia="Calibri" w:hAnsi="Arial" w:cs="Arial"/>
        </w:rPr>
        <w:t xml:space="preserve"> </w:t>
      </w:r>
      <w:r w:rsidR="00102DF9">
        <w:rPr>
          <w:rFonts w:ascii="Arial" w:eastAsia="Calibri" w:hAnsi="Arial" w:cs="Arial"/>
        </w:rPr>
        <w:t>15</w:t>
      </w:r>
      <w:r w:rsidR="00102DF9" w:rsidRPr="00102DF9">
        <w:rPr>
          <w:rFonts w:ascii="Arial" w:eastAsia="Calibri" w:hAnsi="Arial" w:cs="Arial"/>
          <w:vertAlign w:val="superscript"/>
        </w:rPr>
        <w:t>th</w:t>
      </w:r>
      <w:r w:rsidR="00BD137B" w:rsidRPr="00A324EB">
        <w:rPr>
          <w:rFonts w:ascii="Arial" w:eastAsia="Calibri" w:hAnsi="Arial" w:cs="Arial"/>
        </w:rPr>
        <w:t>,</w:t>
      </w:r>
      <w:r w:rsidR="001743DC" w:rsidRPr="00A324EB">
        <w:rPr>
          <w:rFonts w:ascii="Arial" w:eastAsia="Calibri" w:hAnsi="Arial" w:cs="Arial"/>
        </w:rPr>
        <w:t xml:space="preserve"> 202</w:t>
      </w:r>
      <w:r w:rsidR="0063064A">
        <w:rPr>
          <w:rFonts w:ascii="Arial" w:eastAsia="Calibri" w:hAnsi="Arial" w:cs="Arial"/>
        </w:rPr>
        <w:t>3</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13022C2" w:rsidR="00AA4FB3" w:rsidRPr="00C30BC4" w:rsidRDefault="001743DC" w:rsidP="00E72117">
      <w:pPr>
        <w:pStyle w:val="Title"/>
        <w:ind w:hanging="90"/>
        <w:rPr>
          <w:rFonts w:ascii="Arial" w:eastAsia="Calibri" w:hAnsi="Arial" w:cs="Arial"/>
          <w:sz w:val="22"/>
          <w:szCs w:val="22"/>
        </w:rPr>
      </w:pPr>
      <w:r w:rsidRPr="00C30BC4">
        <w:rPr>
          <w:rFonts w:ascii="Arial" w:eastAsia="Calibri" w:hAnsi="Arial" w:cs="Arial"/>
          <w:sz w:val="22"/>
          <w:szCs w:val="22"/>
        </w:rPr>
        <w:t xml:space="preserve"> </w:t>
      </w:r>
      <w:r w:rsidR="008E02E0" w:rsidRPr="00C30BC4">
        <w:rPr>
          <w:rFonts w:ascii="Arial" w:eastAsia="Calibri" w:hAnsi="Arial" w:cs="Arial"/>
          <w:sz w:val="22"/>
          <w:szCs w:val="22"/>
        </w:rPr>
        <w:t>Zoom Info:</w:t>
      </w:r>
    </w:p>
    <w:p w14:paraId="5319DA3A"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Juan Arzola (</w:t>
      </w:r>
      <w:proofErr w:type="spellStart"/>
      <w:r w:rsidRPr="00C30BC4">
        <w:rPr>
          <w:rFonts w:ascii="Arial" w:eastAsia="Calibri" w:hAnsi="Arial" w:cs="Arial"/>
          <w:sz w:val="22"/>
          <w:szCs w:val="22"/>
        </w:rPr>
        <w:t>el</w:t>
      </w:r>
      <w:proofErr w:type="spellEnd"/>
      <w:r w:rsidRPr="00C30BC4">
        <w:rPr>
          <w:rFonts w:ascii="Arial" w:eastAsia="Calibri" w:hAnsi="Arial" w:cs="Arial"/>
          <w:sz w:val="22"/>
          <w:szCs w:val="22"/>
        </w:rPr>
        <w:t>/ese/he/him/his) is inviting you to a scheduled Zoom meeting.</w:t>
      </w:r>
    </w:p>
    <w:p w14:paraId="05DB48B6" w14:textId="7731154C" w:rsidR="00885E6A" w:rsidRDefault="00D97A03" w:rsidP="00885E6A">
      <w:pPr>
        <w:pStyle w:val="Title"/>
        <w:ind w:left="0"/>
        <w:jc w:val="left"/>
        <w:rPr>
          <w:rFonts w:ascii="Arial" w:eastAsia="Calibri" w:hAnsi="Arial" w:cs="Arial"/>
          <w:sz w:val="22"/>
          <w:szCs w:val="22"/>
        </w:rPr>
      </w:pPr>
      <w:hyperlink r:id="rId9" w:history="1">
        <w:r w:rsidR="00E42B02" w:rsidRPr="008C040F">
          <w:rPr>
            <w:rStyle w:val="Hyperlink"/>
            <w:rFonts w:ascii="Arial" w:eastAsia="Calibri" w:hAnsi="Arial" w:cs="Arial"/>
            <w:sz w:val="22"/>
            <w:szCs w:val="22"/>
          </w:rPr>
          <w:t>https://cos-edu.zoom.us/j/3279913568?pwd=ZFVubzdtYlJRd3pFQ2lhQ0dXSEdGZz09</w:t>
        </w:r>
      </w:hyperlink>
    </w:p>
    <w:p w14:paraId="1CC777D5" w14:textId="43B23642" w:rsidR="00885E6A" w:rsidRPr="00C30BC4" w:rsidRDefault="00885E6A" w:rsidP="00E42B02">
      <w:pPr>
        <w:pStyle w:val="Title"/>
        <w:ind w:hanging="90"/>
        <w:rPr>
          <w:rFonts w:ascii="Arial" w:eastAsia="Calibri" w:hAnsi="Arial" w:cs="Arial"/>
          <w:sz w:val="22"/>
          <w:szCs w:val="22"/>
        </w:rPr>
      </w:pPr>
      <w:r w:rsidRPr="00C30BC4">
        <w:rPr>
          <w:rFonts w:ascii="Arial" w:eastAsia="Calibri" w:hAnsi="Arial" w:cs="Arial"/>
          <w:sz w:val="22"/>
          <w:szCs w:val="22"/>
        </w:rPr>
        <w:t>Meeting ID: 327 991 3568</w:t>
      </w:r>
      <w:r w:rsidR="00E42B02">
        <w:rPr>
          <w:rFonts w:ascii="Arial" w:eastAsia="Calibri" w:hAnsi="Arial" w:cs="Arial"/>
          <w:sz w:val="22"/>
          <w:szCs w:val="22"/>
        </w:rPr>
        <w:t xml:space="preserve"> </w:t>
      </w:r>
      <w:r w:rsidR="00E42B02" w:rsidRPr="00C30BC4">
        <w:rPr>
          <w:rFonts w:ascii="Arial" w:eastAsia="Calibri" w:hAnsi="Arial" w:cs="Arial"/>
          <w:sz w:val="22"/>
          <w:szCs w:val="22"/>
        </w:rPr>
        <w:t>Passcode: 318247</w:t>
      </w:r>
    </w:p>
    <w:p w14:paraId="41C0F087"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One tap mobile</w:t>
      </w:r>
    </w:p>
    <w:p w14:paraId="0239F3B1" w14:textId="77777777" w:rsidR="002408B1" w:rsidRPr="00C30BC4" w:rsidRDefault="00885E6A" w:rsidP="00E97DF5">
      <w:pPr>
        <w:pStyle w:val="Title"/>
        <w:ind w:hanging="90"/>
        <w:rPr>
          <w:rFonts w:ascii="Arial" w:eastAsia="Calibri" w:hAnsi="Arial" w:cs="Arial"/>
          <w:sz w:val="22"/>
          <w:szCs w:val="22"/>
        </w:rPr>
      </w:pPr>
      <w:r w:rsidRPr="00C30BC4">
        <w:rPr>
          <w:rFonts w:ascii="Arial" w:eastAsia="Calibri" w:hAnsi="Arial" w:cs="Arial"/>
          <w:sz w:val="22"/>
          <w:szCs w:val="22"/>
        </w:rPr>
        <w:t>+16694449171</w:t>
      </w:r>
      <w:r w:rsidR="002408B1" w:rsidRPr="00C30BC4">
        <w:rPr>
          <w:rFonts w:ascii="Arial" w:eastAsia="Calibri" w:hAnsi="Arial" w:cs="Arial"/>
          <w:sz w:val="22"/>
          <w:szCs w:val="22"/>
        </w:rPr>
        <w:t xml:space="preserve">, </w:t>
      </w:r>
      <w:r w:rsidRPr="00C30BC4">
        <w:rPr>
          <w:rFonts w:ascii="Arial" w:eastAsia="Calibri" w:hAnsi="Arial" w:cs="Arial"/>
          <w:sz w:val="22"/>
          <w:szCs w:val="22"/>
        </w:rPr>
        <w:t>+12532158782</w:t>
      </w:r>
    </w:p>
    <w:p w14:paraId="5E77B3D6" w14:textId="69D550FE" w:rsidR="00885E6A" w:rsidRPr="00C30BC4" w:rsidRDefault="002408B1" w:rsidP="00E97DF5">
      <w:pPr>
        <w:pStyle w:val="Title"/>
        <w:ind w:hanging="90"/>
        <w:rPr>
          <w:rFonts w:ascii="Arial" w:eastAsia="Calibri" w:hAnsi="Arial" w:cs="Arial"/>
          <w:sz w:val="22"/>
          <w:szCs w:val="22"/>
        </w:rPr>
      </w:pPr>
      <w:r w:rsidRPr="00C30BC4">
        <w:rPr>
          <w:rFonts w:ascii="Arial" w:eastAsia="Calibri" w:hAnsi="Arial" w:cs="Arial"/>
          <w:sz w:val="22"/>
          <w:szCs w:val="22"/>
        </w:rPr>
        <w:t>M</w:t>
      </w:r>
      <w:r w:rsidR="00885E6A" w:rsidRPr="00C30BC4">
        <w:rPr>
          <w:rFonts w:ascii="Arial" w:eastAsia="Calibri" w:hAnsi="Arial" w:cs="Arial"/>
          <w:sz w:val="22"/>
          <w:szCs w:val="22"/>
        </w:rPr>
        <w:t>eeting ID: 327 991 3568</w:t>
      </w:r>
      <w:r w:rsidR="00E42B02" w:rsidRPr="00E42B02">
        <w:t xml:space="preserve"> </w:t>
      </w:r>
      <w:r w:rsidR="00E42B02" w:rsidRPr="00E42B02">
        <w:rPr>
          <w:rFonts w:ascii="Arial" w:eastAsia="Calibri" w:hAnsi="Arial" w:cs="Arial"/>
          <w:sz w:val="22"/>
          <w:szCs w:val="22"/>
        </w:rPr>
        <w:t>Passcode: 318247</w:t>
      </w:r>
    </w:p>
    <w:p w14:paraId="7EB2396D" w14:textId="77777777" w:rsidR="008E02E0" w:rsidRDefault="008E02E0" w:rsidP="002408B1">
      <w:pPr>
        <w:pStyle w:val="Title"/>
        <w:ind w:hanging="90"/>
        <w:jc w:val="left"/>
        <w:rPr>
          <w:rFonts w:ascii="Calibri" w:eastAsia="Calibri" w:hAnsi="Calibri" w:cs="Calibri"/>
        </w:rPr>
      </w:pPr>
    </w:p>
    <w:p w14:paraId="5D145084" w14:textId="160B11BE" w:rsidR="00AA4FB3" w:rsidRPr="002408B1" w:rsidRDefault="00C276BE">
      <w:pPr>
        <w:pStyle w:val="Heading1"/>
        <w:jc w:val="center"/>
        <w:rPr>
          <w:rFonts w:ascii="Arial" w:eastAsia="Calibri" w:hAnsi="Arial" w:cs="Arial"/>
          <w:b/>
          <w:sz w:val="32"/>
          <w:szCs w:val="32"/>
        </w:rPr>
      </w:pPr>
      <w:r w:rsidRPr="002408B1">
        <w:rPr>
          <w:rFonts w:ascii="Arial" w:eastAsia="Calibri" w:hAnsi="Arial" w:cs="Arial"/>
          <w:b/>
          <w:sz w:val="32"/>
          <w:szCs w:val="32"/>
        </w:rPr>
        <w:t>AGENDA</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5DF5C3E5"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69D07945"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rsidTr="00954B5D">
        <w:tc>
          <w:tcPr>
            <w:tcW w:w="2995" w:type="dxa"/>
            <w:tcBorders>
              <w:bottom w:val="single" w:sz="4" w:space="0" w:color="000000"/>
            </w:tcBorders>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Borders>
              <w:bottom w:val="single" w:sz="4" w:space="0" w:color="000000"/>
            </w:tcBorders>
          </w:tcPr>
          <w:p w14:paraId="426C5A88" w14:textId="7123D782" w:rsidR="00AA4FB3" w:rsidRPr="000B4D77" w:rsidRDefault="00954B5D">
            <w:pPr>
              <w:rPr>
                <w:rFonts w:ascii="Arial" w:eastAsia="Calibri" w:hAnsi="Arial" w:cs="Arial"/>
                <w:sz w:val="22"/>
                <w:szCs w:val="22"/>
              </w:rPr>
            </w:pPr>
            <w:r w:rsidRPr="000B4D77">
              <w:rPr>
                <w:rFonts w:ascii="Arial" w:eastAsia="Calibri" w:hAnsi="Arial" w:cs="Arial"/>
                <w:sz w:val="22"/>
                <w:szCs w:val="22"/>
              </w:rPr>
              <w:t>Christie Dam</w:t>
            </w:r>
          </w:p>
        </w:tc>
        <w:tc>
          <w:tcPr>
            <w:tcW w:w="3010" w:type="dxa"/>
          </w:tcPr>
          <w:p w14:paraId="51D9E634" w14:textId="5C7F1E3D" w:rsidR="00AA4FB3" w:rsidRPr="000B4D77" w:rsidRDefault="00954B5D">
            <w:pPr>
              <w:rPr>
                <w:rFonts w:ascii="Arial" w:eastAsia="Calibri" w:hAnsi="Arial" w:cs="Arial"/>
                <w:sz w:val="22"/>
                <w:szCs w:val="22"/>
              </w:rPr>
            </w:pPr>
            <w:r w:rsidRPr="000B4D77">
              <w:rPr>
                <w:rFonts w:ascii="Arial" w:eastAsia="Calibri" w:hAnsi="Arial" w:cs="Arial"/>
                <w:sz w:val="22"/>
                <w:szCs w:val="22"/>
              </w:rPr>
              <w:t>Chantal Lamourelle</w:t>
            </w:r>
          </w:p>
        </w:tc>
      </w:tr>
      <w:tr w:rsidR="00AA4FB3" w:rsidRPr="000B4D77" w14:paraId="589C4B32" w14:textId="77777777" w:rsidTr="00954B5D">
        <w:tc>
          <w:tcPr>
            <w:tcW w:w="2995" w:type="dxa"/>
            <w:tcBorders>
              <w:bottom w:val="single" w:sz="4" w:space="0" w:color="auto"/>
            </w:tcBorders>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auto"/>
            </w:tcBorders>
          </w:tcPr>
          <w:p w14:paraId="79AFA2C4" w14:textId="53716F9E" w:rsidR="00AA4FB3" w:rsidRPr="000B4D77" w:rsidRDefault="00954B5D">
            <w:pPr>
              <w:rPr>
                <w:rFonts w:ascii="Arial" w:eastAsia="Calibri" w:hAnsi="Arial" w:cs="Arial"/>
                <w:sz w:val="22"/>
                <w:szCs w:val="22"/>
              </w:rPr>
            </w:pPr>
            <w:r>
              <w:rPr>
                <w:rFonts w:ascii="Arial" w:eastAsia="Calibri" w:hAnsi="Arial" w:cs="Arial"/>
                <w:sz w:val="22"/>
                <w:szCs w:val="22"/>
              </w:rPr>
              <w:t xml:space="preserve">Justin </w:t>
            </w:r>
            <w:proofErr w:type="spellStart"/>
            <w:r>
              <w:rPr>
                <w:rFonts w:ascii="Arial" w:eastAsia="Calibri" w:hAnsi="Arial" w:cs="Arial"/>
                <w:sz w:val="22"/>
                <w:szCs w:val="22"/>
              </w:rPr>
              <w:t>Maung</w:t>
            </w:r>
            <w:proofErr w:type="spellEnd"/>
            <w:r>
              <w:rPr>
                <w:rFonts w:ascii="Arial" w:eastAsia="Calibri" w:hAnsi="Arial" w:cs="Arial"/>
                <w:sz w:val="22"/>
                <w:szCs w:val="22"/>
              </w:rPr>
              <w:t>, SSCCC Rep</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 xml:space="preserve">Matais </w:t>
            </w:r>
            <w:proofErr w:type="spellStart"/>
            <w:r w:rsidRPr="000B4D77">
              <w:rPr>
                <w:rFonts w:ascii="Arial" w:eastAsia="Calibri" w:hAnsi="Arial" w:cs="Arial"/>
                <w:sz w:val="22"/>
                <w:szCs w:val="22"/>
              </w:rPr>
              <w:t>Pouncil</w:t>
            </w:r>
            <w:proofErr w:type="spellEnd"/>
            <w:r w:rsidRPr="000B4D77">
              <w:rPr>
                <w:rFonts w:ascii="Arial" w:eastAsia="Calibri" w:hAnsi="Arial" w:cs="Arial"/>
                <w:sz w:val="22"/>
                <w:szCs w:val="22"/>
              </w:rPr>
              <w:t>, CIO</w:t>
            </w:r>
          </w:p>
        </w:tc>
      </w:tr>
      <w:tr w:rsidR="00D81153" w:rsidRPr="000B4D77" w14:paraId="409E6ECF" w14:textId="77777777" w:rsidTr="00954B5D">
        <w:trPr>
          <w:trHeight w:val="343"/>
        </w:trPr>
        <w:tc>
          <w:tcPr>
            <w:tcW w:w="2995" w:type="dxa"/>
            <w:tcBorders>
              <w:top w:val="single" w:sz="4" w:space="0" w:color="auto"/>
              <w:left w:val="nil"/>
              <w:bottom w:val="nil"/>
              <w:right w:val="nil"/>
            </w:tcBorders>
          </w:tcPr>
          <w:p w14:paraId="16F632D4" w14:textId="38453E3D" w:rsidR="00D81153" w:rsidRPr="000B4D77" w:rsidRDefault="00D81153">
            <w:pPr>
              <w:rPr>
                <w:rFonts w:ascii="Arial" w:eastAsia="Calibri" w:hAnsi="Arial" w:cs="Arial"/>
                <w:sz w:val="22"/>
                <w:szCs w:val="22"/>
              </w:rPr>
            </w:pPr>
          </w:p>
        </w:tc>
        <w:tc>
          <w:tcPr>
            <w:tcW w:w="2985" w:type="dxa"/>
            <w:tcBorders>
              <w:top w:val="single" w:sz="4" w:space="0" w:color="auto"/>
              <w:left w:val="nil"/>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r w:rsidR="007F507C" w:rsidRPr="000B4D77">
        <w:rPr>
          <w:rFonts w:ascii="Arial" w:eastAsia="Calibri" w:hAnsi="Arial" w:cs="Arial"/>
          <w:sz w:val="22"/>
          <w:szCs w:val="22"/>
        </w:rPr>
        <w:t xml:space="preserve">Tongva,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26D85D3E" w:rsidR="00C276BE" w:rsidRPr="000B4D7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10"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62F8ABEB" w14:textId="2946E8CF" w:rsidR="00445E48" w:rsidRPr="000232A4" w:rsidRDefault="00E84ED1" w:rsidP="00445E48">
      <w:pPr>
        <w:pStyle w:val="level2"/>
        <w:numPr>
          <w:ilvl w:val="0"/>
          <w:numId w:val="1"/>
        </w:numPr>
        <w:rPr>
          <w:rFonts w:ascii="Arial" w:eastAsia="Calibri" w:hAnsi="Arial" w:cs="Arial"/>
          <w:i/>
          <w:sz w:val="22"/>
          <w:szCs w:val="22"/>
        </w:rPr>
      </w:pPr>
      <w:r>
        <w:rPr>
          <w:rStyle w:val="Hyperlink"/>
          <w:rFonts w:ascii="Arial" w:eastAsia="Calibri" w:hAnsi="Arial" w:cs="Arial"/>
          <w:iCs/>
          <w:color w:val="auto"/>
          <w:sz w:val="22"/>
          <w:szCs w:val="22"/>
        </w:rPr>
        <w:t>Remaining</w:t>
      </w:r>
      <w:r w:rsidR="00A15DE6">
        <w:rPr>
          <w:rStyle w:val="Hyperlink"/>
          <w:rFonts w:ascii="Arial" w:eastAsia="Calibri" w:hAnsi="Arial" w:cs="Arial"/>
          <w:iCs/>
          <w:color w:val="auto"/>
          <w:sz w:val="22"/>
          <w:szCs w:val="22"/>
        </w:rPr>
        <w:t xml:space="preserve"> Educational Policies Committee </w:t>
      </w:r>
      <w:r>
        <w:rPr>
          <w:rStyle w:val="Hyperlink"/>
          <w:rFonts w:ascii="Arial" w:eastAsia="Calibri" w:hAnsi="Arial" w:cs="Arial"/>
          <w:iCs/>
          <w:color w:val="auto"/>
          <w:sz w:val="22"/>
          <w:szCs w:val="22"/>
        </w:rPr>
        <w:t>Prioritie</w:t>
      </w:r>
      <w:r w:rsidR="00CD72CC">
        <w:rPr>
          <w:rStyle w:val="Hyperlink"/>
          <w:rFonts w:ascii="Arial" w:eastAsia="Calibri" w:hAnsi="Arial" w:cs="Arial"/>
          <w:iCs/>
          <w:color w:val="auto"/>
          <w:sz w:val="22"/>
          <w:szCs w:val="22"/>
        </w:rPr>
        <w:t>s</w:t>
      </w:r>
    </w:p>
    <w:p w14:paraId="70FCB756" w14:textId="4EF8111B" w:rsidR="00541167" w:rsidRDefault="00451FB2" w:rsidP="00541167">
      <w:pPr>
        <w:pStyle w:val="level2"/>
        <w:rPr>
          <w:rFonts w:ascii="Arial" w:eastAsia="Calibri" w:hAnsi="Arial" w:cs="Arial"/>
          <w:sz w:val="22"/>
          <w:szCs w:val="22"/>
        </w:rPr>
      </w:pPr>
      <w:r>
        <w:rPr>
          <w:rFonts w:ascii="Arial" w:eastAsia="Calibri" w:hAnsi="Arial" w:cs="Arial"/>
          <w:sz w:val="22"/>
          <w:szCs w:val="22"/>
        </w:rPr>
        <w:t>Outstanding Committee Priorities</w:t>
      </w:r>
    </w:p>
    <w:p w14:paraId="3985F845" w14:textId="56510EBF" w:rsidR="00111F1A" w:rsidRDefault="00F24A83" w:rsidP="00CB7EB4">
      <w:pPr>
        <w:pStyle w:val="level2"/>
        <w:numPr>
          <w:ilvl w:val="2"/>
          <w:numId w:val="1"/>
        </w:numPr>
        <w:ind w:left="1710" w:hanging="270"/>
        <w:rPr>
          <w:rFonts w:ascii="Arial" w:eastAsia="Calibri" w:hAnsi="Arial" w:cs="Arial"/>
          <w:sz w:val="22"/>
          <w:szCs w:val="22"/>
        </w:rPr>
      </w:pPr>
      <w:hyperlink r:id="rId11" w:history="1">
        <w:r w:rsidRPr="00F24A83">
          <w:rPr>
            <w:rStyle w:val="Hyperlink"/>
            <w:rFonts w:ascii="Arial" w:eastAsia="Calibri" w:hAnsi="Arial" w:cs="Arial"/>
            <w:sz w:val="22"/>
            <w:szCs w:val="22"/>
          </w:rPr>
          <w:t>Faculty Participation in the Creation of Course Enrollment Maximums for Community College Departments and Courses</w:t>
        </w:r>
      </w:hyperlink>
    </w:p>
    <w:p w14:paraId="7EAF9494" w14:textId="685F85C1" w:rsidR="009C0747" w:rsidRDefault="009C0747" w:rsidP="009C0747">
      <w:pPr>
        <w:pStyle w:val="level2"/>
        <w:numPr>
          <w:ilvl w:val="4"/>
          <w:numId w:val="1"/>
        </w:numPr>
        <w:ind w:left="2070"/>
        <w:rPr>
          <w:rFonts w:ascii="Arial" w:eastAsia="Calibri" w:hAnsi="Arial" w:cs="Arial"/>
          <w:sz w:val="22"/>
          <w:szCs w:val="22"/>
        </w:rPr>
      </w:pPr>
      <w:r>
        <w:rPr>
          <w:rFonts w:ascii="Arial" w:eastAsia="Calibri" w:hAnsi="Arial" w:cs="Arial"/>
          <w:sz w:val="22"/>
          <w:szCs w:val="22"/>
        </w:rPr>
        <w:t>Develop a paper outline?</w:t>
      </w:r>
    </w:p>
    <w:p w14:paraId="3B849547" w14:textId="77777777" w:rsidR="009C0747" w:rsidRDefault="009C0747" w:rsidP="009C0747">
      <w:pPr>
        <w:pStyle w:val="level2"/>
        <w:numPr>
          <w:ilvl w:val="0"/>
          <w:numId w:val="0"/>
        </w:numPr>
        <w:ind w:left="2070"/>
        <w:rPr>
          <w:rFonts w:ascii="Arial" w:eastAsia="Calibri" w:hAnsi="Arial" w:cs="Arial"/>
          <w:sz w:val="22"/>
          <w:szCs w:val="22"/>
        </w:rPr>
      </w:pPr>
    </w:p>
    <w:p w14:paraId="7BF72B29" w14:textId="35298EDA" w:rsidR="00F24A83" w:rsidRPr="00FA4DA8" w:rsidRDefault="00874B6A" w:rsidP="00CB7EB4">
      <w:pPr>
        <w:pStyle w:val="level2"/>
        <w:rPr>
          <w:rFonts w:eastAsia="Calibri"/>
        </w:rPr>
      </w:pPr>
      <w:r>
        <w:rPr>
          <w:rFonts w:ascii="Arial" w:eastAsia="Calibri" w:hAnsi="Arial" w:cs="Arial"/>
          <w:sz w:val="22"/>
          <w:szCs w:val="22"/>
        </w:rPr>
        <w:t>2022 – 2023 Assigned</w:t>
      </w:r>
      <w:r w:rsidR="00FA4DA8">
        <w:rPr>
          <w:rFonts w:ascii="Arial" w:eastAsia="Calibri" w:hAnsi="Arial" w:cs="Arial"/>
          <w:sz w:val="22"/>
          <w:szCs w:val="22"/>
        </w:rPr>
        <w:t xml:space="preserve"> Committee Priorities</w:t>
      </w:r>
    </w:p>
    <w:p w14:paraId="165A0BFA" w14:textId="339B2976" w:rsidR="00FA4DA8" w:rsidRDefault="00D45A3A" w:rsidP="00FA4DA8">
      <w:pPr>
        <w:pStyle w:val="level2"/>
        <w:numPr>
          <w:ilvl w:val="2"/>
          <w:numId w:val="1"/>
        </w:numPr>
        <w:ind w:left="1800" w:hanging="360"/>
        <w:rPr>
          <w:rFonts w:ascii="Arial" w:eastAsia="Calibri" w:hAnsi="Arial" w:cs="Arial"/>
          <w:sz w:val="22"/>
          <w:szCs w:val="22"/>
        </w:rPr>
      </w:pPr>
      <w:hyperlink r:id="rId12" w:history="1">
        <w:r w:rsidR="00FA4DA8" w:rsidRPr="00D45A3A">
          <w:rPr>
            <w:rStyle w:val="Hyperlink"/>
            <w:rFonts w:ascii="Arial" w:eastAsia="Calibri" w:hAnsi="Arial" w:cs="Arial"/>
            <w:sz w:val="22"/>
            <w:szCs w:val="22"/>
          </w:rPr>
          <w:t>Proactive Planning and Support for Articulation and Counseling</w:t>
        </w:r>
      </w:hyperlink>
    </w:p>
    <w:p w14:paraId="6292605E" w14:textId="4D5D7454" w:rsidR="009C0747" w:rsidRDefault="00D426A8" w:rsidP="00D426A8">
      <w:pPr>
        <w:pStyle w:val="level2"/>
        <w:numPr>
          <w:ilvl w:val="4"/>
          <w:numId w:val="1"/>
        </w:numPr>
        <w:ind w:left="2070"/>
        <w:rPr>
          <w:rFonts w:ascii="Arial" w:eastAsia="Calibri" w:hAnsi="Arial" w:cs="Arial"/>
          <w:sz w:val="22"/>
          <w:szCs w:val="22"/>
        </w:rPr>
      </w:pPr>
      <w:r>
        <w:rPr>
          <w:rFonts w:ascii="Arial" w:eastAsia="Calibri" w:hAnsi="Arial" w:cs="Arial"/>
          <w:sz w:val="22"/>
          <w:szCs w:val="22"/>
        </w:rPr>
        <w:t xml:space="preserve">Develop a paragraph to include in ASCCC President’s monthly newsletter and/or </w:t>
      </w:r>
      <w:r w:rsidR="00A06272">
        <w:rPr>
          <w:rFonts w:ascii="Arial" w:eastAsia="Calibri" w:hAnsi="Arial" w:cs="Arial"/>
          <w:sz w:val="22"/>
          <w:szCs w:val="22"/>
        </w:rPr>
        <w:t>State of the Senate delivered at spring 2023 Plenary?</w:t>
      </w:r>
    </w:p>
    <w:p w14:paraId="3F6C3A32" w14:textId="617EB1A2" w:rsidR="00FA4DA8" w:rsidRDefault="001406D9" w:rsidP="00FA4DA8">
      <w:pPr>
        <w:pStyle w:val="level2"/>
        <w:numPr>
          <w:ilvl w:val="2"/>
          <w:numId w:val="1"/>
        </w:numPr>
        <w:ind w:left="1800" w:hanging="360"/>
        <w:rPr>
          <w:rFonts w:ascii="Arial" w:eastAsia="Calibri" w:hAnsi="Arial" w:cs="Arial"/>
          <w:sz w:val="22"/>
          <w:szCs w:val="22"/>
        </w:rPr>
      </w:pPr>
      <w:hyperlink r:id="rId13" w:history="1">
        <w:r w:rsidRPr="001406D9">
          <w:rPr>
            <w:rStyle w:val="Hyperlink"/>
            <w:rFonts w:ascii="Arial" w:eastAsia="Calibri" w:hAnsi="Arial" w:cs="Arial"/>
            <w:sz w:val="22"/>
            <w:szCs w:val="22"/>
          </w:rPr>
          <w:t>Advancing Equal Employment Opportunity Policies and Practices within Hiring Committees</w:t>
        </w:r>
      </w:hyperlink>
    </w:p>
    <w:p w14:paraId="54718AC3" w14:textId="57C0DCC4" w:rsidR="002B7114" w:rsidRDefault="00125AF9" w:rsidP="002B7114">
      <w:pPr>
        <w:pStyle w:val="level2"/>
        <w:numPr>
          <w:ilvl w:val="4"/>
          <w:numId w:val="1"/>
        </w:numPr>
        <w:ind w:left="2070"/>
        <w:rPr>
          <w:rFonts w:ascii="Arial" w:eastAsia="Calibri" w:hAnsi="Arial" w:cs="Arial"/>
          <w:sz w:val="22"/>
          <w:szCs w:val="22"/>
        </w:rPr>
      </w:pPr>
      <w:r>
        <w:rPr>
          <w:rFonts w:ascii="Arial" w:eastAsia="Calibri" w:hAnsi="Arial" w:cs="Arial"/>
          <w:sz w:val="22"/>
          <w:szCs w:val="22"/>
        </w:rPr>
        <w:t>3</w:t>
      </w:r>
      <w:r w:rsidRPr="00125AF9">
        <w:rPr>
          <w:rFonts w:ascii="Arial" w:eastAsia="Calibri" w:hAnsi="Arial" w:cs="Arial"/>
          <w:sz w:val="22"/>
          <w:szCs w:val="22"/>
          <w:vertAlign w:val="superscript"/>
        </w:rPr>
        <w:t>rd</w:t>
      </w:r>
      <w:r>
        <w:rPr>
          <w:rFonts w:ascii="Arial" w:eastAsia="Calibri" w:hAnsi="Arial" w:cs="Arial"/>
          <w:sz w:val="22"/>
          <w:szCs w:val="22"/>
        </w:rPr>
        <w:t xml:space="preserve"> Resolve: </w:t>
      </w:r>
      <w:r w:rsidR="008D1337" w:rsidRPr="008D1337">
        <w:rPr>
          <w:rFonts w:ascii="Arial" w:eastAsia="Calibri" w:hAnsi="Arial" w:cs="Arial"/>
          <w:sz w:val="22"/>
          <w:szCs w:val="22"/>
        </w:rPr>
        <w:t>Resolved, That the Academic Senate for California Community Colleges urge local academic senates to work with their college administrators and human resources to implement accountability measures for failure to comply with the Equal Employment Opportunity policy and procedures for dealing with biased behavior on hiring committees;</w:t>
      </w:r>
    </w:p>
    <w:p w14:paraId="1CE23E5F" w14:textId="7E5FC6EA" w:rsidR="008D1337" w:rsidRDefault="00C16801" w:rsidP="008D1337">
      <w:pPr>
        <w:pStyle w:val="level2"/>
        <w:numPr>
          <w:ilvl w:val="5"/>
          <w:numId w:val="1"/>
        </w:numPr>
        <w:ind w:left="2340"/>
        <w:rPr>
          <w:rFonts w:ascii="Arial" w:eastAsia="Calibri" w:hAnsi="Arial" w:cs="Arial"/>
          <w:sz w:val="22"/>
          <w:szCs w:val="22"/>
        </w:rPr>
      </w:pPr>
      <w:r>
        <w:rPr>
          <w:rFonts w:ascii="Arial" w:eastAsia="Calibri" w:hAnsi="Arial" w:cs="Arial"/>
          <w:sz w:val="22"/>
          <w:szCs w:val="22"/>
        </w:rPr>
        <w:t>Rostrum article, webinar?</w:t>
      </w:r>
    </w:p>
    <w:p w14:paraId="3966FA21" w14:textId="18201F08" w:rsidR="00125AF9" w:rsidRDefault="00125AF9" w:rsidP="002B7114">
      <w:pPr>
        <w:pStyle w:val="level2"/>
        <w:numPr>
          <w:ilvl w:val="4"/>
          <w:numId w:val="1"/>
        </w:numPr>
        <w:ind w:left="2070"/>
        <w:rPr>
          <w:rFonts w:ascii="Arial" w:eastAsia="Calibri" w:hAnsi="Arial" w:cs="Arial"/>
          <w:sz w:val="22"/>
          <w:szCs w:val="22"/>
        </w:rPr>
      </w:pPr>
      <w:r>
        <w:rPr>
          <w:rFonts w:ascii="Arial" w:eastAsia="Calibri" w:hAnsi="Arial" w:cs="Arial"/>
          <w:sz w:val="22"/>
          <w:szCs w:val="22"/>
        </w:rPr>
        <w:t>4</w:t>
      </w:r>
      <w:r w:rsidRPr="00125AF9">
        <w:rPr>
          <w:rFonts w:ascii="Arial" w:eastAsia="Calibri" w:hAnsi="Arial" w:cs="Arial"/>
          <w:sz w:val="22"/>
          <w:szCs w:val="22"/>
          <w:vertAlign w:val="superscript"/>
        </w:rPr>
        <w:t>th</w:t>
      </w:r>
      <w:r>
        <w:rPr>
          <w:rFonts w:ascii="Arial" w:eastAsia="Calibri" w:hAnsi="Arial" w:cs="Arial"/>
          <w:sz w:val="22"/>
          <w:szCs w:val="22"/>
        </w:rPr>
        <w:t xml:space="preserve"> Resolve:</w:t>
      </w:r>
      <w:r w:rsidR="00C16801">
        <w:rPr>
          <w:rFonts w:ascii="Arial" w:eastAsia="Calibri" w:hAnsi="Arial" w:cs="Arial"/>
          <w:sz w:val="22"/>
          <w:szCs w:val="22"/>
        </w:rPr>
        <w:t xml:space="preserve"> </w:t>
      </w:r>
      <w:r w:rsidR="0069152F" w:rsidRPr="0069152F">
        <w:rPr>
          <w:rFonts w:ascii="Arial" w:eastAsia="Calibri" w:hAnsi="Arial" w:cs="Arial"/>
          <w:sz w:val="22"/>
          <w:szCs w:val="22"/>
        </w:rPr>
        <w:t>Resolved, That the Academic Senate for California Community Colleges develop resources such as a toolkit or position paper in order to support the efforts of local academic senates to implement up-to-date and well-publicized codes of conduct to prevent failed hiring searches.</w:t>
      </w:r>
    </w:p>
    <w:p w14:paraId="23534508" w14:textId="11E9559A" w:rsidR="0069152F" w:rsidRPr="00FA4DA8" w:rsidRDefault="005205F2" w:rsidP="0069152F">
      <w:pPr>
        <w:pStyle w:val="level2"/>
        <w:numPr>
          <w:ilvl w:val="5"/>
          <w:numId w:val="1"/>
        </w:numPr>
        <w:ind w:left="2340"/>
        <w:rPr>
          <w:rFonts w:ascii="Arial" w:eastAsia="Calibri" w:hAnsi="Arial" w:cs="Arial"/>
          <w:sz w:val="22"/>
          <w:szCs w:val="22"/>
        </w:rPr>
      </w:pPr>
      <w:r>
        <w:rPr>
          <w:rFonts w:ascii="Arial" w:eastAsia="Calibri" w:hAnsi="Arial" w:cs="Arial"/>
          <w:sz w:val="22"/>
          <w:szCs w:val="22"/>
        </w:rPr>
        <w:t xml:space="preserve">White paper? Toolkit? Webinars? Or other </w:t>
      </w:r>
      <w:r w:rsidR="00D97A03">
        <w:rPr>
          <w:rFonts w:ascii="Arial" w:eastAsia="Calibri" w:hAnsi="Arial" w:cs="Arial"/>
          <w:sz w:val="22"/>
          <w:szCs w:val="22"/>
        </w:rPr>
        <w:t>resources?</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5FB8D6B1" w:rsidR="00AA4FB3" w:rsidRPr="00BB126D"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w:t>
      </w:r>
      <w:proofErr w:type="gramStart"/>
      <w:r w:rsidRPr="000B4D77">
        <w:rPr>
          <w:rFonts w:ascii="Arial" w:eastAsia="Calibri" w:hAnsi="Arial" w:cs="Arial"/>
          <w:sz w:val="22"/>
          <w:szCs w:val="22"/>
        </w:rPr>
        <w:t>events</w:t>
      </w:r>
      <w:proofErr w:type="gramEnd"/>
    </w:p>
    <w:p w14:paraId="25539AE0" w14:textId="6E42132A" w:rsidR="00AB7AC3" w:rsidRPr="00A7500E" w:rsidRDefault="00D97A03" w:rsidP="00A7500E">
      <w:pPr>
        <w:pStyle w:val="level2"/>
        <w:numPr>
          <w:ilvl w:val="2"/>
          <w:numId w:val="1"/>
        </w:numPr>
        <w:ind w:left="1800" w:hanging="360"/>
        <w:rPr>
          <w:rFonts w:ascii="Arial" w:eastAsia="Calibri" w:hAnsi="Arial" w:cs="Arial"/>
          <w:color w:val="000000"/>
          <w:sz w:val="22"/>
          <w:szCs w:val="22"/>
        </w:rPr>
      </w:pPr>
      <w:hyperlink r:id="rId14" w:history="1">
        <w:r w:rsidR="00CB189F" w:rsidRPr="00AE5E74">
          <w:rPr>
            <w:rStyle w:val="Hyperlink"/>
            <w:rFonts w:ascii="Arial" w:eastAsia="Calibri" w:hAnsi="Arial" w:cs="Arial"/>
            <w:sz w:val="22"/>
            <w:szCs w:val="22"/>
          </w:rPr>
          <w:t>2023 Spring Plenary Session</w:t>
        </w:r>
      </w:hyperlink>
      <w:r w:rsidR="00CB189F">
        <w:rPr>
          <w:rFonts w:ascii="Arial" w:eastAsia="Calibri" w:hAnsi="Arial" w:cs="Arial"/>
          <w:color w:val="000000"/>
          <w:sz w:val="22"/>
          <w:szCs w:val="22"/>
        </w:rPr>
        <w:t xml:space="preserve">: </w:t>
      </w:r>
      <w:r w:rsidR="00CB189F" w:rsidRPr="00CB189F">
        <w:rPr>
          <w:rFonts w:ascii="Arial" w:eastAsia="Calibri" w:hAnsi="Arial" w:cs="Arial"/>
          <w:color w:val="000000"/>
          <w:sz w:val="22"/>
          <w:szCs w:val="22"/>
        </w:rPr>
        <w:t xml:space="preserve">April 20, 2023 </w:t>
      </w:r>
      <w:r w:rsidR="00CB189F">
        <w:rPr>
          <w:rFonts w:ascii="Arial" w:eastAsia="Calibri" w:hAnsi="Arial" w:cs="Arial"/>
          <w:color w:val="000000"/>
          <w:sz w:val="22"/>
          <w:szCs w:val="22"/>
        </w:rPr>
        <w:t>–</w:t>
      </w:r>
      <w:r w:rsidR="00CB189F" w:rsidRPr="00CB189F">
        <w:rPr>
          <w:rFonts w:ascii="Arial" w:eastAsia="Calibri" w:hAnsi="Arial" w:cs="Arial"/>
          <w:color w:val="000000"/>
          <w:sz w:val="22"/>
          <w:szCs w:val="22"/>
        </w:rPr>
        <w:t xml:space="preserve"> April 22, 2023</w:t>
      </w:r>
      <w:r w:rsidR="009B0974">
        <w:rPr>
          <w:rFonts w:ascii="Arial" w:eastAsia="Calibri" w:hAnsi="Arial" w:cs="Arial"/>
          <w:color w:val="000000"/>
          <w:sz w:val="22"/>
          <w:szCs w:val="22"/>
        </w:rPr>
        <w:t>,</w:t>
      </w:r>
      <w:r w:rsidR="00CB189F" w:rsidRPr="00CB189F">
        <w:rPr>
          <w:rFonts w:ascii="Arial" w:eastAsia="Calibri" w:hAnsi="Arial" w:cs="Arial"/>
          <w:color w:val="000000"/>
          <w:sz w:val="22"/>
          <w:szCs w:val="22"/>
        </w:rPr>
        <w:t xml:space="preserve"> </w:t>
      </w:r>
      <w:r w:rsidR="009B0974">
        <w:rPr>
          <w:rFonts w:ascii="Arial" w:eastAsia="Calibri" w:hAnsi="Arial" w:cs="Arial"/>
          <w:color w:val="000000"/>
          <w:sz w:val="22"/>
          <w:szCs w:val="22"/>
        </w:rPr>
        <w:t>8:00 am –</w:t>
      </w:r>
      <w:r w:rsidR="00CB189F" w:rsidRPr="00CB189F">
        <w:rPr>
          <w:rFonts w:ascii="Arial" w:eastAsia="Calibri" w:hAnsi="Arial" w:cs="Arial"/>
          <w:color w:val="000000"/>
          <w:sz w:val="22"/>
          <w:szCs w:val="22"/>
        </w:rPr>
        <w:t xml:space="preserve"> 12:00pm</w:t>
      </w:r>
    </w:p>
    <w:p w14:paraId="54699A65" w14:textId="376E476F" w:rsidR="00621278" w:rsidRPr="009B0974" w:rsidRDefault="00D97A03" w:rsidP="009B0974">
      <w:pPr>
        <w:pStyle w:val="level2"/>
        <w:numPr>
          <w:ilvl w:val="2"/>
          <w:numId w:val="1"/>
        </w:numPr>
        <w:ind w:left="1800" w:hanging="360"/>
        <w:rPr>
          <w:rFonts w:ascii="Arial" w:eastAsia="Calibri" w:hAnsi="Arial" w:cs="Arial"/>
          <w:color w:val="000000"/>
          <w:sz w:val="22"/>
          <w:szCs w:val="22"/>
        </w:rPr>
      </w:pPr>
      <w:hyperlink r:id="rId15" w:history="1">
        <w:r w:rsidR="00470404" w:rsidRPr="006178CF">
          <w:rPr>
            <w:rStyle w:val="Hyperlink"/>
            <w:rFonts w:ascii="Arial" w:eastAsia="Calibri" w:hAnsi="Arial" w:cs="Arial"/>
            <w:sz w:val="22"/>
            <w:szCs w:val="22"/>
          </w:rPr>
          <w:t>2023 Spring Area Meetings</w:t>
        </w:r>
      </w:hyperlink>
      <w:r w:rsidR="00470404">
        <w:rPr>
          <w:rFonts w:ascii="Arial" w:eastAsia="Calibri" w:hAnsi="Arial" w:cs="Arial"/>
          <w:color w:val="000000"/>
          <w:sz w:val="22"/>
          <w:szCs w:val="22"/>
        </w:rPr>
        <w:t xml:space="preserve">: </w:t>
      </w:r>
      <w:r w:rsidR="00470404" w:rsidRPr="00470404">
        <w:rPr>
          <w:rFonts w:ascii="Arial" w:eastAsia="Calibri" w:hAnsi="Arial" w:cs="Arial"/>
          <w:color w:val="000000"/>
          <w:sz w:val="22"/>
          <w:szCs w:val="22"/>
        </w:rPr>
        <w:t xml:space="preserve">March 24, 2023 </w:t>
      </w:r>
      <w:r w:rsidR="004A4C7F">
        <w:rPr>
          <w:rFonts w:ascii="Arial" w:eastAsia="Calibri" w:hAnsi="Arial" w:cs="Arial"/>
          <w:color w:val="000000"/>
          <w:sz w:val="22"/>
          <w:szCs w:val="22"/>
        </w:rPr>
        <w:t xml:space="preserve">&amp; </w:t>
      </w:r>
      <w:r w:rsidR="00470404" w:rsidRPr="00470404">
        <w:rPr>
          <w:rFonts w:ascii="Arial" w:eastAsia="Calibri" w:hAnsi="Arial" w:cs="Arial"/>
          <w:color w:val="000000"/>
          <w:sz w:val="22"/>
          <w:szCs w:val="22"/>
        </w:rPr>
        <w:t>March 25, 2023</w:t>
      </w:r>
      <w:r w:rsidR="009B0974">
        <w:rPr>
          <w:rFonts w:ascii="Arial" w:eastAsia="Calibri" w:hAnsi="Arial" w:cs="Arial"/>
          <w:color w:val="000000"/>
          <w:sz w:val="22"/>
          <w:szCs w:val="22"/>
        </w:rPr>
        <w:t>,</w:t>
      </w:r>
      <w:r w:rsidR="00470404" w:rsidRPr="00470404">
        <w:rPr>
          <w:rFonts w:ascii="Arial" w:eastAsia="Calibri" w:hAnsi="Arial" w:cs="Arial"/>
          <w:color w:val="000000"/>
          <w:sz w:val="22"/>
          <w:szCs w:val="22"/>
        </w:rPr>
        <w:t xml:space="preserve"> </w:t>
      </w:r>
      <w:r w:rsidR="004A4C7F">
        <w:rPr>
          <w:rFonts w:ascii="Arial" w:eastAsia="Calibri" w:hAnsi="Arial" w:cs="Arial"/>
          <w:color w:val="000000"/>
          <w:sz w:val="22"/>
          <w:szCs w:val="22"/>
        </w:rPr>
        <w:t>9:00 a</w:t>
      </w:r>
      <w:r w:rsidR="00621278">
        <w:rPr>
          <w:rFonts w:ascii="Arial" w:eastAsia="Calibri" w:hAnsi="Arial" w:cs="Arial"/>
          <w:color w:val="000000"/>
          <w:sz w:val="22"/>
          <w:szCs w:val="22"/>
        </w:rPr>
        <w:t xml:space="preserve">m – </w:t>
      </w:r>
      <w:r w:rsidR="00470404" w:rsidRPr="00470404">
        <w:rPr>
          <w:rFonts w:ascii="Arial" w:eastAsia="Calibri" w:hAnsi="Arial" w:cs="Arial"/>
          <w:color w:val="000000"/>
          <w:sz w:val="22"/>
          <w:szCs w:val="22"/>
        </w:rPr>
        <w:t>4:00</w:t>
      </w:r>
      <w:r w:rsidR="004A4C7F">
        <w:rPr>
          <w:rFonts w:ascii="Arial" w:eastAsia="Calibri" w:hAnsi="Arial" w:cs="Arial"/>
          <w:color w:val="000000"/>
          <w:sz w:val="22"/>
          <w:szCs w:val="22"/>
        </w:rPr>
        <w:t xml:space="preserve"> </w:t>
      </w:r>
      <w:r w:rsidR="00470404" w:rsidRPr="00470404">
        <w:rPr>
          <w:rFonts w:ascii="Arial" w:eastAsia="Calibri" w:hAnsi="Arial" w:cs="Arial"/>
          <w:color w:val="000000"/>
          <w:sz w:val="22"/>
          <w:szCs w:val="22"/>
        </w:rPr>
        <w:t>pm</w:t>
      </w:r>
    </w:p>
    <w:p w14:paraId="3D0F3401" w14:textId="20B74250" w:rsidR="0033479E" w:rsidRPr="000B4D77" w:rsidRDefault="00D97A03" w:rsidP="0033479E">
      <w:pPr>
        <w:pStyle w:val="level2"/>
        <w:rPr>
          <w:rFonts w:ascii="Arial" w:eastAsia="Calibri" w:hAnsi="Arial" w:cs="Arial"/>
          <w:sz w:val="22"/>
          <w:szCs w:val="22"/>
        </w:rPr>
      </w:pPr>
      <w:hyperlink r:id="rId16"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469C086F"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68071AC4" w14:textId="150FA1DC" w:rsidR="00AA4FB3" w:rsidRDefault="00AA4FB3" w:rsidP="00534EE7">
      <w:pPr>
        <w:pBdr>
          <w:top w:val="nil"/>
          <w:left w:val="nil"/>
          <w:bottom w:val="nil"/>
          <w:right w:val="nil"/>
          <w:between w:val="nil"/>
        </w:pBdr>
        <w:rPr>
          <w:rFonts w:ascii="Arial" w:eastAsia="Calibri" w:hAnsi="Arial" w:cs="Arial"/>
          <w:color w:val="000000"/>
          <w:sz w:val="22"/>
          <w:szCs w:val="22"/>
        </w:rPr>
      </w:pPr>
    </w:p>
    <w:p w14:paraId="13C12C26" w14:textId="77777777" w:rsidR="00534EE7" w:rsidRPr="000B4D77" w:rsidRDefault="00534EE7" w:rsidP="00534EE7">
      <w:pPr>
        <w:pBdr>
          <w:top w:val="nil"/>
          <w:left w:val="nil"/>
          <w:bottom w:val="nil"/>
          <w:right w:val="nil"/>
          <w:between w:val="nil"/>
        </w:pBdr>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6E919E80" w:rsidR="002F1FCB"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 xml:space="preserve">meeting norms and social </w:t>
      </w:r>
      <w:r w:rsidR="00D45A3A" w:rsidRPr="000B4D77">
        <w:rPr>
          <w:rFonts w:ascii="Arial" w:eastAsia="Calibri" w:hAnsi="Arial" w:cs="Arial"/>
          <w:bCs/>
          <w:color w:val="000000"/>
          <w:sz w:val="22"/>
          <w:szCs w:val="22"/>
        </w:rPr>
        <w:t>agreements.</w:t>
      </w:r>
    </w:p>
    <w:p w14:paraId="6A9DAB93" w14:textId="01CF7DDB" w:rsidR="001D76A0" w:rsidRDefault="00053DBD" w:rsidP="002F1FCB">
      <w:pPr>
        <w:pStyle w:val="ListParagraph"/>
        <w:numPr>
          <w:ilvl w:val="0"/>
          <w:numId w:val="15"/>
        </w:numPr>
        <w:rPr>
          <w:rFonts w:ascii="Arial" w:eastAsia="Calibri" w:hAnsi="Arial" w:cs="Arial"/>
          <w:bCs/>
          <w:color w:val="000000"/>
          <w:sz w:val="22"/>
          <w:szCs w:val="22"/>
        </w:rPr>
      </w:pPr>
      <w:hyperlink r:id="rId17" w:history="1">
        <w:r w:rsidR="001D76A0" w:rsidRPr="00053DBD">
          <w:rPr>
            <w:rStyle w:val="Hyperlink"/>
            <w:rFonts w:ascii="Arial" w:eastAsia="Calibri" w:hAnsi="Arial" w:cs="Arial"/>
            <w:bCs/>
            <w:sz w:val="22"/>
            <w:szCs w:val="22"/>
          </w:rPr>
          <w:t>Enrollment management</w:t>
        </w:r>
        <w:r w:rsidR="007B2909" w:rsidRPr="00053DBD">
          <w:rPr>
            <w:rStyle w:val="Hyperlink"/>
            <w:rFonts w:ascii="Arial" w:eastAsia="Calibri" w:hAnsi="Arial" w:cs="Arial"/>
            <w:bCs/>
            <w:sz w:val="22"/>
            <w:szCs w:val="22"/>
          </w:rPr>
          <w:t xml:space="preserve"> </w:t>
        </w:r>
        <w:r w:rsidR="00FB77C2" w:rsidRPr="00053DBD">
          <w:rPr>
            <w:rStyle w:val="Hyperlink"/>
            <w:rFonts w:ascii="Arial" w:eastAsia="Calibri" w:hAnsi="Arial" w:cs="Arial"/>
            <w:bCs/>
            <w:sz w:val="22"/>
            <w:szCs w:val="22"/>
          </w:rPr>
          <w:t>revisited</w:t>
        </w:r>
        <w:r w:rsidR="007B2909" w:rsidRPr="00053DBD">
          <w:rPr>
            <w:rStyle w:val="Hyperlink"/>
            <w:rFonts w:ascii="Arial" w:eastAsia="Calibri" w:hAnsi="Arial" w:cs="Arial"/>
            <w:bCs/>
            <w:sz w:val="22"/>
            <w:szCs w:val="22"/>
          </w:rPr>
          <w:t xml:space="preserve">—again </w:t>
        </w:r>
        <w:r w:rsidR="0034791D" w:rsidRPr="00053DBD">
          <w:rPr>
            <w:rStyle w:val="Hyperlink"/>
            <w:rFonts w:ascii="Arial" w:eastAsia="Calibri" w:hAnsi="Arial" w:cs="Arial"/>
            <w:bCs/>
            <w:sz w:val="22"/>
            <w:szCs w:val="22"/>
          </w:rPr>
          <w:t>paper</w:t>
        </w:r>
      </w:hyperlink>
      <w:r w:rsidR="00FB77C2">
        <w:rPr>
          <w:rFonts w:ascii="Arial" w:eastAsia="Calibri" w:hAnsi="Arial" w:cs="Arial"/>
          <w:bCs/>
          <w:color w:val="000000"/>
          <w:sz w:val="22"/>
          <w:szCs w:val="22"/>
        </w:rPr>
        <w:t>.</w:t>
      </w:r>
    </w:p>
    <w:p w14:paraId="506561CB" w14:textId="042F282F" w:rsidR="0034791D" w:rsidRDefault="00CD6521" w:rsidP="002F1FCB">
      <w:pPr>
        <w:pStyle w:val="ListParagraph"/>
        <w:numPr>
          <w:ilvl w:val="0"/>
          <w:numId w:val="15"/>
        </w:numPr>
        <w:rPr>
          <w:rFonts w:ascii="Arial" w:eastAsia="Calibri" w:hAnsi="Arial" w:cs="Arial"/>
          <w:bCs/>
          <w:color w:val="000000"/>
          <w:sz w:val="22"/>
          <w:szCs w:val="22"/>
        </w:rPr>
      </w:pPr>
      <w:hyperlink r:id="rId18" w:history="1">
        <w:r w:rsidR="0034791D" w:rsidRPr="00CD6521">
          <w:rPr>
            <w:rStyle w:val="Hyperlink"/>
            <w:rFonts w:ascii="Arial" w:eastAsia="Calibri" w:hAnsi="Arial" w:cs="Arial"/>
            <w:bCs/>
            <w:sz w:val="22"/>
            <w:szCs w:val="22"/>
          </w:rPr>
          <w:t>Academic Integrity in the Era of AI</w:t>
        </w:r>
        <w:r w:rsidR="00EC78F1" w:rsidRPr="00CD6521">
          <w:rPr>
            <w:rStyle w:val="Hyperlink"/>
            <w:rFonts w:ascii="Arial" w:eastAsia="Calibri" w:hAnsi="Arial" w:cs="Arial"/>
            <w:bCs/>
            <w:sz w:val="22"/>
            <w:szCs w:val="22"/>
          </w:rPr>
          <w:t>: The onus is on faculty</w:t>
        </w:r>
      </w:hyperlink>
      <w:r w:rsidR="00EC78F1">
        <w:rPr>
          <w:rFonts w:ascii="Arial" w:eastAsia="Calibri" w:hAnsi="Arial" w:cs="Arial"/>
          <w:bCs/>
          <w:color w:val="000000"/>
          <w:sz w:val="22"/>
          <w:szCs w:val="22"/>
        </w:rPr>
        <w:t xml:space="preserve"> rostrum article</w:t>
      </w:r>
      <w:r w:rsidR="00FB77C2">
        <w:rPr>
          <w:rFonts w:ascii="Arial" w:eastAsia="Calibri" w:hAnsi="Arial" w:cs="Arial"/>
          <w:bCs/>
          <w:color w:val="000000"/>
          <w:sz w:val="22"/>
          <w:szCs w:val="22"/>
        </w:rPr>
        <w:t>.</w:t>
      </w:r>
      <w:r w:rsidR="00EC78F1">
        <w:rPr>
          <w:rFonts w:ascii="Arial" w:eastAsia="Calibri" w:hAnsi="Arial" w:cs="Arial"/>
          <w:bCs/>
          <w:color w:val="000000"/>
          <w:sz w:val="22"/>
          <w:szCs w:val="22"/>
        </w:rPr>
        <w:t xml:space="preserve"> </w:t>
      </w:r>
    </w:p>
    <w:p w14:paraId="0CF12614" w14:textId="1A241BAE" w:rsidR="0034791D" w:rsidRDefault="00D52323" w:rsidP="002F1FCB">
      <w:pPr>
        <w:pStyle w:val="ListParagraph"/>
        <w:numPr>
          <w:ilvl w:val="0"/>
          <w:numId w:val="15"/>
        </w:numPr>
        <w:rPr>
          <w:rFonts w:ascii="Arial" w:eastAsia="Calibri" w:hAnsi="Arial" w:cs="Arial"/>
          <w:bCs/>
          <w:color w:val="000000"/>
          <w:sz w:val="22"/>
          <w:szCs w:val="22"/>
        </w:rPr>
      </w:pPr>
      <w:hyperlink r:id="rId19" w:history="1">
        <w:r w:rsidR="00A51312" w:rsidRPr="00D52323">
          <w:rPr>
            <w:rStyle w:val="Hyperlink"/>
            <w:rFonts w:ascii="Arial" w:eastAsia="Calibri" w:hAnsi="Arial" w:cs="Arial"/>
            <w:bCs/>
            <w:sz w:val="22"/>
            <w:szCs w:val="22"/>
          </w:rPr>
          <w:t xml:space="preserve">In the absence of Legislative action, </w:t>
        </w:r>
        <w:proofErr w:type="gramStart"/>
        <w:r w:rsidR="00A51312" w:rsidRPr="00D52323">
          <w:rPr>
            <w:rStyle w:val="Hyperlink"/>
            <w:rFonts w:ascii="Arial" w:eastAsia="Calibri" w:hAnsi="Arial" w:cs="Arial"/>
            <w:bCs/>
            <w:sz w:val="22"/>
            <w:szCs w:val="22"/>
          </w:rPr>
          <w:t>It’s</w:t>
        </w:r>
        <w:proofErr w:type="gramEnd"/>
        <w:r w:rsidR="00A51312" w:rsidRPr="00D52323">
          <w:rPr>
            <w:rStyle w:val="Hyperlink"/>
            <w:rFonts w:ascii="Arial" w:eastAsia="Calibri" w:hAnsi="Arial" w:cs="Arial"/>
            <w:bCs/>
            <w:sz w:val="22"/>
            <w:szCs w:val="22"/>
          </w:rPr>
          <w:t xml:space="preserve"> time to </w:t>
        </w:r>
        <w:r w:rsidR="008331F6" w:rsidRPr="00D52323">
          <w:rPr>
            <w:rStyle w:val="Hyperlink"/>
            <w:rFonts w:ascii="Arial" w:eastAsia="Calibri" w:hAnsi="Arial" w:cs="Arial"/>
            <w:bCs/>
            <w:sz w:val="22"/>
            <w:szCs w:val="22"/>
          </w:rPr>
          <w:t>modify title 5 to define academic freedom</w:t>
        </w:r>
      </w:hyperlink>
      <w:r w:rsidR="00EC78F1">
        <w:rPr>
          <w:rFonts w:ascii="Arial" w:eastAsia="Calibri" w:hAnsi="Arial" w:cs="Arial"/>
          <w:bCs/>
          <w:color w:val="000000"/>
          <w:sz w:val="22"/>
          <w:szCs w:val="22"/>
        </w:rPr>
        <w:t xml:space="preserve"> rostrum article</w:t>
      </w:r>
      <w:r w:rsidR="00FB77C2">
        <w:rPr>
          <w:rFonts w:ascii="Arial" w:eastAsia="Calibri" w:hAnsi="Arial" w:cs="Arial"/>
          <w:bCs/>
          <w:color w:val="000000"/>
          <w:sz w:val="22"/>
          <w:szCs w:val="22"/>
        </w:rPr>
        <w:t>.</w:t>
      </w:r>
    </w:p>
    <w:p w14:paraId="7F0C4A59" w14:textId="5B16600F" w:rsidR="00EC78F1" w:rsidRDefault="0010091D" w:rsidP="002F1FCB">
      <w:pPr>
        <w:pStyle w:val="ListParagraph"/>
        <w:numPr>
          <w:ilvl w:val="0"/>
          <w:numId w:val="15"/>
        </w:numPr>
        <w:rPr>
          <w:rFonts w:ascii="Arial" w:eastAsia="Calibri" w:hAnsi="Arial" w:cs="Arial"/>
          <w:bCs/>
          <w:color w:val="000000"/>
          <w:sz w:val="22"/>
          <w:szCs w:val="22"/>
        </w:rPr>
      </w:pPr>
      <w:hyperlink r:id="rId20" w:history="1">
        <w:r w:rsidR="007B2909" w:rsidRPr="0010091D">
          <w:rPr>
            <w:rStyle w:val="Hyperlink"/>
            <w:rFonts w:ascii="Arial" w:eastAsia="Calibri" w:hAnsi="Arial" w:cs="Arial"/>
            <w:bCs/>
            <w:sz w:val="22"/>
            <w:szCs w:val="22"/>
          </w:rPr>
          <w:t xml:space="preserve">Adopt the Enrollment management </w:t>
        </w:r>
        <w:r w:rsidR="00FB77C2" w:rsidRPr="0010091D">
          <w:rPr>
            <w:rStyle w:val="Hyperlink"/>
            <w:rFonts w:ascii="Arial" w:eastAsia="Calibri" w:hAnsi="Arial" w:cs="Arial"/>
            <w:bCs/>
            <w:sz w:val="22"/>
            <w:szCs w:val="22"/>
          </w:rPr>
          <w:t>revisited</w:t>
        </w:r>
        <w:r w:rsidR="007B2909" w:rsidRPr="0010091D">
          <w:rPr>
            <w:rStyle w:val="Hyperlink"/>
            <w:rFonts w:ascii="Arial" w:eastAsia="Calibri" w:hAnsi="Arial" w:cs="Arial"/>
            <w:bCs/>
            <w:sz w:val="22"/>
            <w:szCs w:val="22"/>
          </w:rPr>
          <w:t>—again</w:t>
        </w:r>
      </w:hyperlink>
      <w:r w:rsidR="007B2909">
        <w:rPr>
          <w:rFonts w:ascii="Arial" w:eastAsia="Calibri" w:hAnsi="Arial" w:cs="Arial"/>
          <w:bCs/>
          <w:color w:val="000000"/>
          <w:sz w:val="22"/>
          <w:szCs w:val="22"/>
        </w:rPr>
        <w:t xml:space="preserve"> resolution</w:t>
      </w:r>
      <w:r w:rsidR="00FB77C2">
        <w:rPr>
          <w:rFonts w:ascii="Arial" w:eastAsia="Calibri" w:hAnsi="Arial" w:cs="Arial"/>
          <w:bCs/>
          <w:color w:val="000000"/>
          <w:sz w:val="22"/>
          <w:szCs w:val="22"/>
        </w:rPr>
        <w:t>.</w:t>
      </w:r>
    </w:p>
    <w:p w14:paraId="0924CDCE" w14:textId="37290528" w:rsidR="00534EE7" w:rsidRPr="000B4D77" w:rsidRDefault="00C04D91" w:rsidP="002F1FCB">
      <w:pPr>
        <w:pStyle w:val="ListParagraph"/>
        <w:numPr>
          <w:ilvl w:val="0"/>
          <w:numId w:val="15"/>
        </w:numPr>
        <w:rPr>
          <w:rFonts w:ascii="Arial" w:eastAsia="Calibri" w:hAnsi="Arial" w:cs="Arial"/>
          <w:bCs/>
          <w:color w:val="000000"/>
          <w:sz w:val="22"/>
          <w:szCs w:val="22"/>
        </w:rPr>
      </w:pPr>
      <w:hyperlink r:id="rId21" w:history="1">
        <w:r w:rsidR="00534EE7" w:rsidRPr="00C04D91">
          <w:rPr>
            <w:rStyle w:val="Hyperlink"/>
            <w:rFonts w:ascii="Arial" w:eastAsia="Calibri" w:hAnsi="Arial" w:cs="Arial"/>
            <w:bCs/>
            <w:sz w:val="22"/>
            <w:szCs w:val="22"/>
          </w:rPr>
          <w:t>Define academic freedom in title 5</w:t>
        </w:r>
      </w:hyperlink>
      <w:r w:rsidR="00534EE7">
        <w:rPr>
          <w:rFonts w:ascii="Arial" w:eastAsia="Calibri" w:hAnsi="Arial" w:cs="Arial"/>
          <w:bCs/>
          <w:color w:val="000000"/>
          <w:sz w:val="22"/>
          <w:szCs w:val="22"/>
        </w:rPr>
        <w:t xml:space="preserve"> resolution</w:t>
      </w:r>
      <w:r w:rsidR="00FB77C2">
        <w:rPr>
          <w:rFonts w:ascii="Arial" w:eastAsia="Calibri" w:hAnsi="Arial" w:cs="Arial"/>
          <w:bCs/>
          <w:color w:val="000000"/>
          <w:sz w:val="22"/>
          <w:szCs w:val="22"/>
        </w:rPr>
        <w:t>.</w:t>
      </w:r>
    </w:p>
    <w:sectPr w:rsidR="00534EE7" w:rsidRPr="000B4D77" w:rsidSect="0086584E">
      <w:headerReference w:type="even" r:id="rId22"/>
      <w:headerReference w:type="default" r:id="rId23"/>
      <w:footerReference w:type="even" r:id="rId24"/>
      <w:footerReference w:type="default" r:id="rId25"/>
      <w:headerReference w:type="first" r:id="rId26"/>
      <w:footerReference w:type="first" r:id="rId27"/>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6EE9" w14:textId="77777777" w:rsidR="001A6473" w:rsidRDefault="001A6473">
      <w:r>
        <w:separator/>
      </w:r>
    </w:p>
  </w:endnote>
  <w:endnote w:type="continuationSeparator" w:id="0">
    <w:p w14:paraId="75842EA1" w14:textId="77777777" w:rsidR="001A6473" w:rsidRDefault="001A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748A" w14:textId="77777777" w:rsidR="001A6473" w:rsidRDefault="001A6473">
      <w:r>
        <w:separator/>
      </w:r>
    </w:p>
  </w:footnote>
  <w:footnote w:type="continuationSeparator" w:id="0">
    <w:p w14:paraId="2749E2DE" w14:textId="77777777" w:rsidR="001A6473" w:rsidRDefault="001A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718EDF2C"/>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rFonts w:ascii="Arial" w:hAnsi="Arial" w:cs="Arial" w:hint="default"/>
        <w:i w:val="0"/>
        <w:iCs/>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4C3577"/>
    <w:multiLevelType w:val="hybridMultilevel"/>
    <w:tmpl w:val="CAD4B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7885207">
    <w:abstractNumId w:val="2"/>
  </w:num>
  <w:num w:numId="2" w16cid:durableId="80838021">
    <w:abstractNumId w:val="12"/>
  </w:num>
  <w:num w:numId="3" w16cid:durableId="957682599">
    <w:abstractNumId w:val="10"/>
  </w:num>
  <w:num w:numId="4" w16cid:durableId="1545025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5239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117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405398">
    <w:abstractNumId w:val="6"/>
  </w:num>
  <w:num w:numId="8" w16cid:durableId="1704671917">
    <w:abstractNumId w:val="11"/>
  </w:num>
  <w:num w:numId="9" w16cid:durableId="1924755121">
    <w:abstractNumId w:val="4"/>
  </w:num>
  <w:num w:numId="10" w16cid:durableId="279385921">
    <w:abstractNumId w:val="1"/>
  </w:num>
  <w:num w:numId="11" w16cid:durableId="1992709720">
    <w:abstractNumId w:val="7"/>
  </w:num>
  <w:num w:numId="12" w16cid:durableId="61755882">
    <w:abstractNumId w:val="9"/>
  </w:num>
  <w:num w:numId="13" w16cid:durableId="261189960">
    <w:abstractNumId w:val="3"/>
  </w:num>
  <w:num w:numId="14" w16cid:durableId="460849801">
    <w:abstractNumId w:val="13"/>
  </w:num>
  <w:num w:numId="15" w16cid:durableId="1977106400">
    <w:abstractNumId w:val="0"/>
  </w:num>
  <w:num w:numId="16" w16cid:durableId="652830141">
    <w:abstractNumId w:val="5"/>
  </w:num>
  <w:num w:numId="17" w16cid:durableId="536821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23A29"/>
    <w:rsid w:val="00040867"/>
    <w:rsid w:val="00046923"/>
    <w:rsid w:val="00053DBD"/>
    <w:rsid w:val="00061601"/>
    <w:rsid w:val="00064585"/>
    <w:rsid w:val="00065392"/>
    <w:rsid w:val="000843BD"/>
    <w:rsid w:val="00093795"/>
    <w:rsid w:val="000A44D8"/>
    <w:rsid w:val="000A5863"/>
    <w:rsid w:val="000B4D77"/>
    <w:rsid w:val="000D08C4"/>
    <w:rsid w:val="000E5360"/>
    <w:rsid w:val="0010091D"/>
    <w:rsid w:val="00100BC6"/>
    <w:rsid w:val="00102DF9"/>
    <w:rsid w:val="0010793B"/>
    <w:rsid w:val="00111F1A"/>
    <w:rsid w:val="001161C3"/>
    <w:rsid w:val="00125789"/>
    <w:rsid w:val="00125AF9"/>
    <w:rsid w:val="001320CF"/>
    <w:rsid w:val="00135926"/>
    <w:rsid w:val="001406D9"/>
    <w:rsid w:val="00147854"/>
    <w:rsid w:val="001613C2"/>
    <w:rsid w:val="001743DC"/>
    <w:rsid w:val="001827D5"/>
    <w:rsid w:val="001A0195"/>
    <w:rsid w:val="001A280D"/>
    <w:rsid w:val="001A6473"/>
    <w:rsid w:val="001B13CB"/>
    <w:rsid w:val="001B28F5"/>
    <w:rsid w:val="001D76A0"/>
    <w:rsid w:val="001F1F75"/>
    <w:rsid w:val="001F76D3"/>
    <w:rsid w:val="00213973"/>
    <w:rsid w:val="002275B6"/>
    <w:rsid w:val="0023136F"/>
    <w:rsid w:val="002408B1"/>
    <w:rsid w:val="00247C78"/>
    <w:rsid w:val="00253F6A"/>
    <w:rsid w:val="00257CD3"/>
    <w:rsid w:val="002609E8"/>
    <w:rsid w:val="00263DF0"/>
    <w:rsid w:val="002732AB"/>
    <w:rsid w:val="002877F2"/>
    <w:rsid w:val="00295CE9"/>
    <w:rsid w:val="00296D80"/>
    <w:rsid w:val="002B7114"/>
    <w:rsid w:val="002C67F3"/>
    <w:rsid w:val="002D3807"/>
    <w:rsid w:val="002D61AC"/>
    <w:rsid w:val="002F1FCB"/>
    <w:rsid w:val="002F2903"/>
    <w:rsid w:val="002F5FAE"/>
    <w:rsid w:val="003031E9"/>
    <w:rsid w:val="0031202E"/>
    <w:rsid w:val="00316D5B"/>
    <w:rsid w:val="0033479E"/>
    <w:rsid w:val="0034791D"/>
    <w:rsid w:val="00361DA6"/>
    <w:rsid w:val="00374113"/>
    <w:rsid w:val="00380E54"/>
    <w:rsid w:val="003C29CD"/>
    <w:rsid w:val="003E3993"/>
    <w:rsid w:val="003E485E"/>
    <w:rsid w:val="004125E9"/>
    <w:rsid w:val="00434C7A"/>
    <w:rsid w:val="00441A1D"/>
    <w:rsid w:val="00445E48"/>
    <w:rsid w:val="00450C0F"/>
    <w:rsid w:val="00450DB9"/>
    <w:rsid w:val="00451FB2"/>
    <w:rsid w:val="004568D0"/>
    <w:rsid w:val="00470404"/>
    <w:rsid w:val="00477086"/>
    <w:rsid w:val="00492164"/>
    <w:rsid w:val="004925F4"/>
    <w:rsid w:val="004964EC"/>
    <w:rsid w:val="004A4C7F"/>
    <w:rsid w:val="004A510E"/>
    <w:rsid w:val="004A5A8F"/>
    <w:rsid w:val="004C01ED"/>
    <w:rsid w:val="004D3736"/>
    <w:rsid w:val="004D4E73"/>
    <w:rsid w:val="004E4870"/>
    <w:rsid w:val="004E7555"/>
    <w:rsid w:val="004F0010"/>
    <w:rsid w:val="004F00F6"/>
    <w:rsid w:val="005050F7"/>
    <w:rsid w:val="00511306"/>
    <w:rsid w:val="005205F2"/>
    <w:rsid w:val="00534EE7"/>
    <w:rsid w:val="00541167"/>
    <w:rsid w:val="0054390E"/>
    <w:rsid w:val="0054568F"/>
    <w:rsid w:val="00560B45"/>
    <w:rsid w:val="00565DA7"/>
    <w:rsid w:val="005667C1"/>
    <w:rsid w:val="005722B6"/>
    <w:rsid w:val="005739A5"/>
    <w:rsid w:val="00576F5F"/>
    <w:rsid w:val="005853FB"/>
    <w:rsid w:val="00594BE2"/>
    <w:rsid w:val="005A2603"/>
    <w:rsid w:val="005B3E05"/>
    <w:rsid w:val="005B5D3B"/>
    <w:rsid w:val="005C5E58"/>
    <w:rsid w:val="005C67DE"/>
    <w:rsid w:val="005D1E8E"/>
    <w:rsid w:val="00605412"/>
    <w:rsid w:val="006178CF"/>
    <w:rsid w:val="00621278"/>
    <w:rsid w:val="00624D46"/>
    <w:rsid w:val="0063064A"/>
    <w:rsid w:val="00644219"/>
    <w:rsid w:val="00677E12"/>
    <w:rsid w:val="00686BF5"/>
    <w:rsid w:val="0069152F"/>
    <w:rsid w:val="006A7009"/>
    <w:rsid w:val="006B2021"/>
    <w:rsid w:val="006B7953"/>
    <w:rsid w:val="006C3675"/>
    <w:rsid w:val="006C580E"/>
    <w:rsid w:val="006D3D44"/>
    <w:rsid w:val="006E1EE8"/>
    <w:rsid w:val="006E66B2"/>
    <w:rsid w:val="006F1513"/>
    <w:rsid w:val="007237BD"/>
    <w:rsid w:val="00737DD3"/>
    <w:rsid w:val="00744A94"/>
    <w:rsid w:val="00767AF5"/>
    <w:rsid w:val="00793F81"/>
    <w:rsid w:val="00797E04"/>
    <w:rsid w:val="007B189C"/>
    <w:rsid w:val="007B2909"/>
    <w:rsid w:val="007C311F"/>
    <w:rsid w:val="007D0420"/>
    <w:rsid w:val="007D3BCA"/>
    <w:rsid w:val="007D47AB"/>
    <w:rsid w:val="007D638A"/>
    <w:rsid w:val="007E2145"/>
    <w:rsid w:val="007E5EBA"/>
    <w:rsid w:val="007F507C"/>
    <w:rsid w:val="00811663"/>
    <w:rsid w:val="008331F6"/>
    <w:rsid w:val="00842672"/>
    <w:rsid w:val="0085041A"/>
    <w:rsid w:val="00852DFF"/>
    <w:rsid w:val="0086584E"/>
    <w:rsid w:val="008732FA"/>
    <w:rsid w:val="00874B6A"/>
    <w:rsid w:val="00876A2D"/>
    <w:rsid w:val="00885E6A"/>
    <w:rsid w:val="00887B20"/>
    <w:rsid w:val="008A1B74"/>
    <w:rsid w:val="008A56D1"/>
    <w:rsid w:val="008A7E66"/>
    <w:rsid w:val="008C54BD"/>
    <w:rsid w:val="008D1337"/>
    <w:rsid w:val="008D7AA9"/>
    <w:rsid w:val="008E02E0"/>
    <w:rsid w:val="008F3838"/>
    <w:rsid w:val="00904BFB"/>
    <w:rsid w:val="009137F8"/>
    <w:rsid w:val="009201DA"/>
    <w:rsid w:val="009348A1"/>
    <w:rsid w:val="00944F4A"/>
    <w:rsid w:val="00954B5D"/>
    <w:rsid w:val="00967AD9"/>
    <w:rsid w:val="00970FEE"/>
    <w:rsid w:val="00986B19"/>
    <w:rsid w:val="00987771"/>
    <w:rsid w:val="009B0974"/>
    <w:rsid w:val="009B711D"/>
    <w:rsid w:val="009C0747"/>
    <w:rsid w:val="009C13D9"/>
    <w:rsid w:val="009D007C"/>
    <w:rsid w:val="009E7DD2"/>
    <w:rsid w:val="009F1CAD"/>
    <w:rsid w:val="009F6B48"/>
    <w:rsid w:val="00A06272"/>
    <w:rsid w:val="00A15DE6"/>
    <w:rsid w:val="00A324EB"/>
    <w:rsid w:val="00A35A08"/>
    <w:rsid w:val="00A451B7"/>
    <w:rsid w:val="00A51312"/>
    <w:rsid w:val="00A5186E"/>
    <w:rsid w:val="00A5491B"/>
    <w:rsid w:val="00A7500E"/>
    <w:rsid w:val="00A77924"/>
    <w:rsid w:val="00A84793"/>
    <w:rsid w:val="00A85D4F"/>
    <w:rsid w:val="00AA4FB3"/>
    <w:rsid w:val="00AA6309"/>
    <w:rsid w:val="00AB7AC3"/>
    <w:rsid w:val="00AB7C02"/>
    <w:rsid w:val="00AC1188"/>
    <w:rsid w:val="00AC1E2A"/>
    <w:rsid w:val="00AC33F9"/>
    <w:rsid w:val="00AE5E74"/>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B126D"/>
    <w:rsid w:val="00BD137B"/>
    <w:rsid w:val="00BF13AA"/>
    <w:rsid w:val="00BF4D2E"/>
    <w:rsid w:val="00C04D91"/>
    <w:rsid w:val="00C16801"/>
    <w:rsid w:val="00C218DD"/>
    <w:rsid w:val="00C25DFC"/>
    <w:rsid w:val="00C276BE"/>
    <w:rsid w:val="00C30BC4"/>
    <w:rsid w:val="00C50100"/>
    <w:rsid w:val="00C613A4"/>
    <w:rsid w:val="00C616CB"/>
    <w:rsid w:val="00C904C2"/>
    <w:rsid w:val="00C90D05"/>
    <w:rsid w:val="00C9186F"/>
    <w:rsid w:val="00CA29E9"/>
    <w:rsid w:val="00CB15EC"/>
    <w:rsid w:val="00CB189F"/>
    <w:rsid w:val="00CB7EB4"/>
    <w:rsid w:val="00CD05AD"/>
    <w:rsid w:val="00CD6521"/>
    <w:rsid w:val="00CD72CC"/>
    <w:rsid w:val="00CF4786"/>
    <w:rsid w:val="00D0106A"/>
    <w:rsid w:val="00D2497A"/>
    <w:rsid w:val="00D34EB9"/>
    <w:rsid w:val="00D426A8"/>
    <w:rsid w:val="00D45A3A"/>
    <w:rsid w:val="00D50EDC"/>
    <w:rsid w:val="00D52323"/>
    <w:rsid w:val="00D626E2"/>
    <w:rsid w:val="00D8005D"/>
    <w:rsid w:val="00D81153"/>
    <w:rsid w:val="00D97A03"/>
    <w:rsid w:val="00DA4AD8"/>
    <w:rsid w:val="00DC61D0"/>
    <w:rsid w:val="00DD061E"/>
    <w:rsid w:val="00DD7E97"/>
    <w:rsid w:val="00DE4213"/>
    <w:rsid w:val="00DF1677"/>
    <w:rsid w:val="00DF24F8"/>
    <w:rsid w:val="00E06E24"/>
    <w:rsid w:val="00E37586"/>
    <w:rsid w:val="00E42B02"/>
    <w:rsid w:val="00E56A82"/>
    <w:rsid w:val="00E572FF"/>
    <w:rsid w:val="00E67019"/>
    <w:rsid w:val="00E72117"/>
    <w:rsid w:val="00E82885"/>
    <w:rsid w:val="00E84ED1"/>
    <w:rsid w:val="00E91FF0"/>
    <w:rsid w:val="00E96DF5"/>
    <w:rsid w:val="00E97DF5"/>
    <w:rsid w:val="00EA6F0B"/>
    <w:rsid w:val="00EB099F"/>
    <w:rsid w:val="00EB232F"/>
    <w:rsid w:val="00EC78F1"/>
    <w:rsid w:val="00EE13D2"/>
    <w:rsid w:val="00EE6B56"/>
    <w:rsid w:val="00EF079A"/>
    <w:rsid w:val="00F24A83"/>
    <w:rsid w:val="00F51E25"/>
    <w:rsid w:val="00F601A2"/>
    <w:rsid w:val="00F62DBD"/>
    <w:rsid w:val="00F7508D"/>
    <w:rsid w:val="00FA1F01"/>
    <w:rsid w:val="00FA4DA8"/>
    <w:rsid w:val="00FB08FB"/>
    <w:rsid w:val="00FB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resolutions/advancing-equal-employment-opportunity-policies-and-practices-within-hiring-committees" TargetMode="External"/><Relationship Id="rId18" Type="http://schemas.openxmlformats.org/officeDocument/2006/relationships/hyperlink" Target="https://docs.google.com/document/d/15NF572GVEwgvffOTOkxkGx0aOcvemXg3/edi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cs.google.com/document/d/1Y7VCDI8qzJFB72LF0KBySmWCm6qogOnP/edit" TargetMode="External"/><Relationship Id="rId7" Type="http://schemas.openxmlformats.org/officeDocument/2006/relationships/endnotes" Target="endnotes.xml"/><Relationship Id="rId12" Type="http://schemas.openxmlformats.org/officeDocument/2006/relationships/hyperlink" Target="https://www.asccc.org/resolutions/proactive-planning-and-support-articulation-and-counseling" TargetMode="External"/><Relationship Id="rId17" Type="http://schemas.openxmlformats.org/officeDocument/2006/relationships/hyperlink" Target="https://docs.google.com/document/d/1W-bs9zyvR487_plqFbSrpUt34HHOdCkE/ed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sccc.org/content/new-faculty-application-statewide-service" TargetMode="External"/><Relationship Id="rId20" Type="http://schemas.openxmlformats.org/officeDocument/2006/relationships/hyperlink" Target="https://docs.google.com/document/d/1UEUmEpznItHVd9C2yVSVTbMmkyErAniy/e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resolutions/faculty-participation-creation-course-enrollment-maximums-community-college-departm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sccc.org/area-new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rive.google.com/drive/folders/1sLF8kApgbxJyFNBvYArcIZLwUX5XG3Gx?usp=sharing" TargetMode="External"/><Relationship Id="rId19" Type="http://schemas.openxmlformats.org/officeDocument/2006/relationships/hyperlink" Target="https://docs.google.com/document/d/15NF572GVEwgvffOTOkxkGx0aOcvemXg3/edit" TargetMode="External"/><Relationship Id="rId4" Type="http://schemas.openxmlformats.org/officeDocument/2006/relationships/settings" Target="settings.xml"/><Relationship Id="rId9" Type="http://schemas.openxmlformats.org/officeDocument/2006/relationships/hyperlink" Target="https://cos-edu.zoom.us/j/3279913568?pwd=ZFVubzdtYlJRd3pFQ2lhQ0dXSEdGZz09" TargetMode="External"/><Relationship Id="rId14" Type="http://schemas.openxmlformats.org/officeDocument/2006/relationships/hyperlink" Target="https://www.asccc.org/events/2023-spring-plenary-sess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35</cp:revision>
  <dcterms:created xsi:type="dcterms:W3CDTF">2023-03-06T05:51:00Z</dcterms:created>
  <dcterms:modified xsi:type="dcterms:W3CDTF">2023-03-10T23:00:00Z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