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32" w:rsidRDefault="00997232" w:rsidP="00997232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noProof/>
          <w:sz w:val="30"/>
          <w:szCs w:val="30"/>
        </w:rPr>
        <w:drawing>
          <wp:inline distT="114300" distB="114300" distL="114300" distR="114300" wp14:anchorId="00C3927C" wp14:editId="69D759B7">
            <wp:extent cx="4767650" cy="11953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650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7232" w:rsidRDefault="00997232" w:rsidP="00997232">
      <w:pPr>
        <w:jc w:val="center"/>
        <w:rPr>
          <w:rFonts w:ascii="Georgia" w:eastAsia="Georgia" w:hAnsi="Georgia" w:cs="Georgia"/>
          <w:b/>
          <w:sz w:val="30"/>
          <w:szCs w:val="30"/>
        </w:rPr>
      </w:pPr>
    </w:p>
    <w:p w:rsidR="00997232" w:rsidRDefault="00997232" w:rsidP="00997232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Transfer, Articulation and Student Services Committee</w:t>
      </w:r>
    </w:p>
    <w:p w:rsidR="00997232" w:rsidRDefault="00997232" w:rsidP="00997232">
      <w:pPr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Meeting Minutes</w:t>
      </w:r>
    </w:p>
    <w:p w:rsidR="00997232" w:rsidRDefault="00A23378" w:rsidP="00997232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February 6, 2024</w:t>
      </w:r>
    </w:p>
    <w:p w:rsidR="00997232" w:rsidRDefault="00A23378" w:rsidP="00997232">
      <w:pP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11-12pm</w:t>
      </w:r>
    </w:p>
    <w:p w:rsidR="00997232" w:rsidRDefault="00A23378" w:rsidP="00997232">
      <w:pPr>
        <w:jc w:val="center"/>
        <w:rPr>
          <w:rFonts w:ascii="Georgia" w:eastAsia="Georgia" w:hAnsi="Georgia" w:cs="Georgia"/>
          <w:color w:val="1155CC"/>
          <w:sz w:val="23"/>
          <w:szCs w:val="23"/>
          <w:u w:val="single"/>
        </w:rPr>
      </w:pPr>
      <w:r>
        <w:rPr>
          <w:rFonts w:ascii="Georgia" w:hAnsi="Georgia"/>
          <w:color w:val="000000"/>
        </w:rPr>
        <w:t>https://ccsf-edu.zoom.us/j/89164688658</w:t>
      </w:r>
    </w:p>
    <w:p w:rsidR="00A23378" w:rsidRDefault="00A23378" w:rsidP="00997232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997232" w:rsidRPr="00A23378" w:rsidRDefault="00997232" w:rsidP="0099723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A23378">
        <w:rPr>
          <w:rFonts w:ascii="Georgia" w:eastAsia="Georgia" w:hAnsi="Georgia" w:cs="Georgia"/>
          <w:sz w:val="24"/>
          <w:szCs w:val="24"/>
        </w:rPr>
        <w:t>Welcome</w:t>
      </w:r>
    </w:p>
    <w:p w:rsidR="00997232" w:rsidRPr="00A23378" w:rsidRDefault="00997232" w:rsidP="00997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FF0000"/>
          <w:sz w:val="24"/>
          <w:szCs w:val="24"/>
        </w:rPr>
      </w:pPr>
      <w:r w:rsidRPr="00A23378">
        <w:rPr>
          <w:rFonts w:ascii="Georgia" w:eastAsia="Georgia" w:hAnsi="Georgia" w:cs="Georgia"/>
          <w:color w:val="FF0000"/>
          <w:sz w:val="24"/>
          <w:szCs w:val="24"/>
        </w:rPr>
        <w:t>Chair Sapienza offered members the opportunity for a quick check-in.</w:t>
      </w:r>
    </w:p>
    <w:p w:rsidR="00997232" w:rsidRPr="00A23378" w:rsidRDefault="00997232" w:rsidP="00997232">
      <w:pPr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A23378">
        <w:rPr>
          <w:rFonts w:ascii="Georgia" w:eastAsia="Georgia" w:hAnsi="Georgia" w:cs="Georgia"/>
          <w:sz w:val="24"/>
          <w:szCs w:val="24"/>
        </w:rPr>
        <w:t xml:space="preserve">Adoption of the Agenda </w:t>
      </w:r>
      <w:r w:rsidRPr="00A23378">
        <w:rPr>
          <w:rFonts w:ascii="Georgia" w:eastAsia="Georgia" w:hAnsi="Georgia" w:cs="Georgia"/>
          <w:i/>
          <w:sz w:val="24"/>
          <w:szCs w:val="24"/>
        </w:rPr>
        <w:t>approval</w:t>
      </w:r>
    </w:p>
    <w:p w:rsidR="00997232" w:rsidRPr="00A23378" w:rsidRDefault="00997232" w:rsidP="009972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FF0000"/>
          <w:sz w:val="24"/>
          <w:szCs w:val="24"/>
        </w:rPr>
      </w:pPr>
      <w:bookmarkStart w:id="0" w:name="_heading=h.gjdgxs" w:colFirst="0" w:colLast="0"/>
      <w:bookmarkEnd w:id="0"/>
      <w:r w:rsidRPr="00A23378">
        <w:rPr>
          <w:rFonts w:ascii="Georgia" w:eastAsia="Georgia" w:hAnsi="Georgia" w:cs="Georgia"/>
          <w:color w:val="FF0000"/>
          <w:sz w:val="24"/>
          <w:szCs w:val="24"/>
        </w:rPr>
        <w:t>Members approved of the February agenda</w:t>
      </w:r>
    </w:p>
    <w:p w:rsidR="00997232" w:rsidRPr="00A23378" w:rsidRDefault="00A23378" w:rsidP="00997232">
      <w:pPr>
        <w:numPr>
          <w:ilvl w:val="0"/>
          <w:numId w:val="1"/>
        </w:numPr>
        <w:rPr>
          <w:rFonts w:ascii="Georgia" w:eastAsia="Georgia" w:hAnsi="Georgia" w:cs="Georgia"/>
          <w:i/>
          <w:sz w:val="24"/>
          <w:szCs w:val="24"/>
        </w:rPr>
      </w:pPr>
      <w:hyperlink r:id="rId6" w:history="1">
        <w:r w:rsidRPr="00A23378">
          <w:rPr>
            <w:rStyle w:val="Hyperlink"/>
            <w:rFonts w:ascii="Georgia" w:hAnsi="Georgia"/>
            <w:color w:val="1155CC"/>
            <w:sz w:val="24"/>
            <w:szCs w:val="24"/>
          </w:rPr>
          <w:t>Minutes from January 30 meeting</w:t>
        </w:r>
      </w:hyperlink>
    </w:p>
    <w:p w:rsidR="00A23378" w:rsidRPr="00A23378" w:rsidRDefault="00A23378" w:rsidP="00A23378">
      <w:pPr>
        <w:pStyle w:val="ListParagraph"/>
        <w:numPr>
          <w:ilvl w:val="0"/>
          <w:numId w:val="2"/>
        </w:numPr>
        <w:rPr>
          <w:rFonts w:ascii="Georgia" w:eastAsia="Georgia" w:hAnsi="Georgia" w:cs="Georgia"/>
          <w:i/>
          <w:sz w:val="24"/>
          <w:szCs w:val="24"/>
        </w:rPr>
      </w:pPr>
      <w:r w:rsidRPr="00A23378">
        <w:rPr>
          <w:rFonts w:ascii="Georgia" w:eastAsia="Georgia" w:hAnsi="Georgia" w:cs="Georgia"/>
          <w:color w:val="FF0000"/>
          <w:sz w:val="24"/>
          <w:szCs w:val="24"/>
        </w:rPr>
        <w:t xml:space="preserve">Members approved of the </w:t>
      </w:r>
      <w:r>
        <w:rPr>
          <w:rFonts w:ascii="Georgia" w:eastAsia="Georgia" w:hAnsi="Georgia" w:cs="Georgia"/>
          <w:color w:val="FF0000"/>
          <w:sz w:val="24"/>
          <w:szCs w:val="24"/>
        </w:rPr>
        <w:t>January meeting minutes</w:t>
      </w:r>
    </w:p>
    <w:p w:rsidR="00A23378" w:rsidRDefault="00A23378" w:rsidP="00A2337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Academic Probation Webinar #2 planning </w:t>
      </w:r>
      <w:hyperlink r:id="rId7" w:history="1">
        <w:r>
          <w:rPr>
            <w:rStyle w:val="Hyperlink"/>
            <w:rFonts w:ascii="Georgia" w:hAnsi="Georgia"/>
            <w:color w:val="1155CC"/>
          </w:rPr>
          <w:t>TASSC Webinar: Pro Student, not Probation</w:t>
        </w:r>
      </w:hyperlink>
      <w:r>
        <w:rPr>
          <w:rFonts w:ascii="Georgia" w:hAnsi="Georgia"/>
          <w:color w:val="000000"/>
        </w:rPr>
        <w:t xml:space="preserve"> </w:t>
      </w:r>
    </w:p>
    <w:p w:rsidR="00A23378" w:rsidRDefault="00A23378" w:rsidP="00A233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Members discussed the agenda for this webinar, determining that we don’t need a facilitator and that we would include a data analyst as part of the speaker line up to share with the field what types of data </w:t>
      </w:r>
      <w:r w:rsidR="005404A9">
        <w:rPr>
          <w:rFonts w:ascii="Georgia" w:eastAsia="Georgia" w:hAnsi="Georgia" w:cs="Georgia"/>
          <w:color w:val="FF0000"/>
          <w:sz w:val="24"/>
          <w:szCs w:val="24"/>
        </w:rPr>
        <w:t>can be accessed and</w:t>
      </w:r>
      <w:r>
        <w:rPr>
          <w:rFonts w:ascii="Georgia" w:eastAsia="Georgia" w:hAnsi="Georgia" w:cs="Georgia"/>
          <w:color w:val="FF0000"/>
          <w:sz w:val="24"/>
          <w:szCs w:val="24"/>
        </w:rPr>
        <w:t xml:space="preserve"> collect</w:t>
      </w:r>
      <w:r w:rsidR="008378DD">
        <w:rPr>
          <w:rFonts w:ascii="Georgia" w:eastAsia="Georgia" w:hAnsi="Georgia" w:cs="Georgia"/>
          <w:color w:val="FF0000"/>
          <w:sz w:val="24"/>
          <w:szCs w:val="24"/>
        </w:rPr>
        <w:t>ed</w:t>
      </w:r>
      <w:r>
        <w:rPr>
          <w:rFonts w:ascii="Georgia" w:eastAsia="Georgia" w:hAnsi="Georgia" w:cs="Georgia"/>
          <w:color w:val="FF0000"/>
          <w:sz w:val="24"/>
          <w:szCs w:val="24"/>
        </w:rPr>
        <w:t>. Members also determined that an ASCCC officer, either Cheryl or Manuel might be good to include as the opening speakers to address Title 5 changes and to talk about the limitations of the resolution process. Resolutions chair, Erik Reese would also be a good choice for this opening statement.</w:t>
      </w:r>
    </w:p>
    <w:p w:rsidR="00A23378" w:rsidRPr="00A23378" w:rsidRDefault="00A23378" w:rsidP="00A2337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FF0000"/>
          <w:sz w:val="24"/>
          <w:szCs w:val="2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The committee will determine at a later date the details of the agenda, such as time limits for each part.</w:t>
      </w:r>
    </w:p>
    <w:p w:rsidR="00A23378" w:rsidRDefault="00A23378" w:rsidP="00A23378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:rsidR="008378DD" w:rsidRDefault="00A23378" w:rsidP="008378DD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hyperlink r:id="rId8" w:history="1">
        <w:r w:rsidRPr="00A23378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/>
          </w:rPr>
          <w:t>03.03 Support for Mental Health Awareness and Trauma Informed Teaching and Learning</w:t>
        </w:r>
      </w:hyperlink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: Resolved, That the Academic Senate for California Community Colleges </w:t>
      </w:r>
      <w:r w:rsidRPr="00A2337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develop resources identifying effective practices for mental health awareness and trauma-informed teaching and learning and present the strategies</w:t>
      </w:r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 to local academic senates by Fall 2022</w:t>
      </w:r>
    </w:p>
    <w:p w:rsidR="008378DD" w:rsidRPr="008378DD" w:rsidRDefault="008378DD" w:rsidP="008378DD">
      <w:pPr>
        <w:pStyle w:val="ListParagraph"/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p w:rsidR="00A23378" w:rsidRPr="008378DD" w:rsidRDefault="00A23378" w:rsidP="008378DD">
      <w:pPr>
        <w:pStyle w:val="ListParagraph"/>
        <w:numPr>
          <w:ilvl w:val="1"/>
          <w:numId w:val="1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Webinar proposal: </w:t>
      </w:r>
      <w:r w:rsidRPr="008378D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/>
        </w:rPr>
        <w:t>Building a Classroom of Care</w:t>
      </w:r>
      <w:r w:rsidRPr="008378DD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 with Amy Miles, English faculty, CCSF </w:t>
      </w:r>
      <w:r w:rsidRPr="008378D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/>
        </w:rPr>
        <w:t>discussion and action</w:t>
      </w:r>
    </w:p>
    <w:p w:rsidR="00A23378" w:rsidRPr="00A23378" w:rsidRDefault="00A23378" w:rsidP="00A23378">
      <w:pPr>
        <w:numPr>
          <w:ilvl w:val="0"/>
          <w:numId w:val="8"/>
        </w:numPr>
        <w:spacing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Possible dates: Friday, April 26, 10-12 or Wednesday, May 1, 10-12</w:t>
      </w:r>
    </w:p>
    <w:p w:rsidR="00A23378" w:rsidRDefault="00A23378" w:rsidP="00A23378">
      <w:pPr>
        <w:numPr>
          <w:ilvl w:val="0"/>
          <w:numId w:val="8"/>
        </w:numPr>
        <w:spacing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Link to </w:t>
      </w:r>
      <w:hyperlink r:id="rId9" w:history="1">
        <w:r w:rsidRPr="00A23378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lang w:val="en-US"/>
          </w:rPr>
          <w:t>draft outline</w:t>
        </w:r>
      </w:hyperlink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>.</w:t>
      </w:r>
    </w:p>
    <w:p w:rsidR="00A23378" w:rsidRPr="008378DD" w:rsidRDefault="008378DD" w:rsidP="008378D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FF0000"/>
          <w:sz w:val="24"/>
          <w:szCs w:val="24"/>
        </w:rPr>
      </w:pPr>
      <w:r w:rsidRPr="008378DD">
        <w:rPr>
          <w:rFonts w:ascii="Georgia" w:eastAsia="Georgia" w:hAnsi="Georgia" w:cs="Georgia"/>
          <w:color w:val="FF0000"/>
          <w:sz w:val="24"/>
          <w:szCs w:val="24"/>
        </w:rPr>
        <w:lastRenderedPageBreak/>
        <w:t xml:space="preserve">The </w:t>
      </w:r>
      <w:r w:rsidRPr="008378DD">
        <w:rPr>
          <w:rFonts w:ascii="Georgia" w:eastAsia="Georgia" w:hAnsi="Georgia" w:cs="Georgia"/>
          <w:color w:val="FF0000"/>
          <w:sz w:val="24"/>
          <w:szCs w:val="24"/>
        </w:rPr>
        <w:t>committee approved moving this webinar forward to March ASCCC Exec for approval. In the proposal, we will add the potential to include additional speakers and contacts from committee members.</w:t>
      </w:r>
    </w:p>
    <w:p w:rsidR="00A23378" w:rsidRPr="00A23378" w:rsidRDefault="00A23378" w:rsidP="00A23378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A23378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Webinar proposal: </w:t>
      </w:r>
      <w:r w:rsidRPr="00A23378">
        <w:rPr>
          <w:rFonts w:ascii="Georgia" w:eastAsia="Times New Roman" w:hAnsi="Georgia" w:cs="Times New Roman"/>
          <w:b/>
          <w:bCs/>
          <w:color w:val="242424"/>
          <w:sz w:val="24"/>
          <w:szCs w:val="24"/>
          <w:shd w:val="clear" w:color="auto" w:fill="FFFFFF"/>
          <w:lang w:val="en-US"/>
        </w:rPr>
        <w:t>No wrong door: Politicized trauma and resilience-informed teaching</w:t>
      </w:r>
      <w:r w:rsidRPr="00A23378">
        <w:rPr>
          <w:rFonts w:ascii="Georgia" w:eastAsia="Times New Roman" w:hAnsi="Georgia" w:cs="Times New Roman"/>
          <w:color w:val="242424"/>
          <w:sz w:val="24"/>
          <w:szCs w:val="24"/>
          <w:shd w:val="clear" w:color="auto" w:fill="FFFFFF"/>
          <w:lang w:val="en-US"/>
        </w:rPr>
        <w:t xml:space="preserve"> with Jose Luis Mejia, community educator and organizer</w:t>
      </w:r>
      <w:r w:rsidRPr="00A2337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378DD" w:rsidRPr="008378DD" w:rsidRDefault="00A23378" w:rsidP="008378DD">
      <w:pPr>
        <w:numPr>
          <w:ilvl w:val="0"/>
          <w:numId w:val="10"/>
        </w:numPr>
        <w:spacing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A23378">
        <w:rPr>
          <w:rFonts w:ascii="Georgia" w:eastAsia="Times New Roman" w:hAnsi="Georgia" w:cs="Times New Roman"/>
          <w:color w:val="242424"/>
          <w:sz w:val="24"/>
          <w:szCs w:val="24"/>
          <w:shd w:val="clear" w:color="auto" w:fill="FFFFFF"/>
          <w:lang w:val="en-US"/>
        </w:rPr>
        <w:t>Science based tools grounded in the experience of a complex trauma survivor and community</w:t>
      </w:r>
      <w:r w:rsidR="006E2E8E">
        <w:rPr>
          <w:rFonts w:ascii="Georgia" w:eastAsia="Times New Roman" w:hAnsi="Georgia" w:cs="Times New Roman"/>
          <w:color w:val="242424"/>
          <w:sz w:val="24"/>
          <w:szCs w:val="24"/>
          <w:shd w:val="clear" w:color="auto" w:fill="FFFFFF"/>
          <w:lang w:val="en-US"/>
        </w:rPr>
        <w:t>-</w:t>
      </w:r>
      <w:r w:rsidRPr="00A23378">
        <w:rPr>
          <w:rFonts w:ascii="Georgia" w:eastAsia="Times New Roman" w:hAnsi="Georgia" w:cs="Times New Roman"/>
          <w:color w:val="242424"/>
          <w:sz w:val="24"/>
          <w:szCs w:val="24"/>
          <w:shd w:val="clear" w:color="auto" w:fill="FFFFFF"/>
          <w:lang w:val="en-US"/>
        </w:rPr>
        <w:t xml:space="preserve">based educator, researcher, and policy maker </w:t>
      </w:r>
      <w:r w:rsidRPr="00A23378">
        <w:rPr>
          <w:rFonts w:ascii="Georgia" w:eastAsia="Times New Roman" w:hAnsi="Georgia" w:cs="Times New Roman"/>
          <w:i/>
          <w:iCs/>
          <w:color w:val="242424"/>
          <w:sz w:val="24"/>
          <w:szCs w:val="24"/>
          <w:shd w:val="clear" w:color="auto" w:fill="FFFFFF"/>
          <w:lang w:val="en-US"/>
        </w:rPr>
        <w:t>discussion and action</w:t>
      </w:r>
    </w:p>
    <w:p w:rsidR="008378DD" w:rsidRPr="00A23378" w:rsidRDefault="008378DD" w:rsidP="008378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8DD" w:rsidRPr="008378DD" w:rsidRDefault="008378DD" w:rsidP="008378DD">
      <w:pPr>
        <w:numPr>
          <w:ilvl w:val="2"/>
          <w:numId w:val="10"/>
        </w:numPr>
        <w:spacing w:line="240" w:lineRule="auto"/>
        <w:textAlignment w:val="baseline"/>
        <w:rPr>
          <w:rFonts w:ascii="Georgia" w:eastAsia="Times New Roman" w:hAnsi="Georgia" w:cs="Times New Roman"/>
          <w:color w:val="242424"/>
          <w:sz w:val="24"/>
          <w:szCs w:val="24"/>
          <w:lang w:val="en-US"/>
        </w:rPr>
      </w:pPr>
      <w:r w:rsidRPr="00A23378">
        <w:rPr>
          <w:rFonts w:ascii="Georgia" w:eastAsia="Times New Roman" w:hAnsi="Georgia" w:cs="Times New Roman"/>
          <w:color w:val="242424"/>
          <w:sz w:val="24"/>
          <w:szCs w:val="24"/>
          <w:shd w:val="clear" w:color="auto" w:fill="FFFFFF"/>
          <w:lang w:val="en-US"/>
        </w:rPr>
        <w:t>Proposed dates: April 26, May 6 or May 7 </w:t>
      </w:r>
    </w:p>
    <w:p w:rsidR="008378DD" w:rsidRPr="008378DD" w:rsidRDefault="008378DD" w:rsidP="008378D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8378DD">
        <w:rPr>
          <w:rFonts w:ascii="Georgia" w:eastAsia="Georgia" w:hAnsi="Georgia" w:cs="Georgia"/>
          <w:color w:val="FF0000"/>
          <w:sz w:val="24"/>
          <w:szCs w:val="24"/>
        </w:rPr>
        <w:t>The committee approved moving this webinar forward to March ASCCC Exec for approval. In the proposal, we will add the potential to include additional speakers and contacts from committee members.</w:t>
      </w:r>
    </w:p>
    <w:p w:rsidR="008378DD" w:rsidRPr="008378DD" w:rsidRDefault="008378DD" w:rsidP="008378DD">
      <w:pPr>
        <w:pStyle w:val="ListParagraph"/>
        <w:spacing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p w:rsidR="008378DD" w:rsidRPr="008378DD" w:rsidRDefault="008378DD" w:rsidP="008378DD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8378DD">
        <w:rPr>
          <w:rFonts w:ascii="Georgia" w:hAnsi="Georgia"/>
          <w:color w:val="000000"/>
          <w:sz w:val="24"/>
          <w:szCs w:val="24"/>
        </w:rPr>
        <w:t xml:space="preserve">Counseling and changes in Life-long Learning requirements, because </w:t>
      </w:r>
      <w:proofErr w:type="spellStart"/>
      <w:r w:rsidRPr="008378DD">
        <w:rPr>
          <w:rFonts w:ascii="Georgia" w:hAnsi="Georgia"/>
          <w:color w:val="000000"/>
          <w:sz w:val="24"/>
          <w:szCs w:val="24"/>
        </w:rPr>
        <w:t>CalGETC</w:t>
      </w:r>
      <w:proofErr w:type="spellEnd"/>
      <w:r w:rsidRPr="008378DD">
        <w:rPr>
          <w:rFonts w:ascii="Georgia" w:hAnsi="Georgia"/>
          <w:color w:val="000000"/>
          <w:sz w:val="24"/>
          <w:szCs w:val="24"/>
        </w:rPr>
        <w:t xml:space="preserve"> – Gabriel Martinez </w:t>
      </w:r>
      <w:r w:rsidRPr="008378DD">
        <w:rPr>
          <w:rFonts w:ascii="Georgia" w:hAnsi="Georgia"/>
          <w:i/>
          <w:iCs/>
          <w:color w:val="000000"/>
          <w:sz w:val="24"/>
          <w:szCs w:val="24"/>
        </w:rPr>
        <w:t>discussion</w:t>
      </w:r>
    </w:p>
    <w:p w:rsidR="008378DD" w:rsidRPr="008378DD" w:rsidRDefault="008378DD" w:rsidP="008378D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What are counseling department doing with Area E going away? One member shared that presentations have been made to counseling departments about what courses are going away. Many students were not necessarily filling area E with Counseling courses; most seem to take kinesiology. The counseling courses are taken beyond attribute; they still seem popular now. There are counseling courses imbedded in guided pathways mapping. Main goal is to make all courses UC transferable.</w:t>
      </w:r>
      <w:r w:rsidRPr="008378D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8378DD" w:rsidRPr="008378DD" w:rsidRDefault="008378DD" w:rsidP="008378DD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  <w:t xml:space="preserve">Counseling courses and AB 928 – Gabriel Martinez </w:t>
      </w:r>
      <w:r w:rsidRPr="008378DD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/>
        </w:rPr>
        <w:t>discussion</w:t>
      </w:r>
    </w:p>
    <w:p w:rsidR="008378DD" w:rsidRPr="008378DD" w:rsidRDefault="008378DD" w:rsidP="008378D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How are people dealing with courses that are technically not required?</w:t>
      </w:r>
    </w:p>
    <w:p w:rsidR="008378DD" w:rsidRPr="008378DD" w:rsidRDefault="008378DD" w:rsidP="008378DD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What happens with a course that is no longer in a GE area? </w:t>
      </w:r>
    </w:p>
    <w:p w:rsidR="008378DD" w:rsidRPr="008378DD" w:rsidRDefault="008378DD" w:rsidP="008378DD">
      <w:pPr>
        <w:numPr>
          <w:ilvl w:val="2"/>
          <w:numId w:val="16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Counseling courses have always been considered stand</w:t>
      </w:r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-</w:t>
      </w: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alone courses. Counseling courses help with retention on a students’ academic journey, especially when we are looking at dual enrollment courses. They may not have a GE attribute, but they are still important.</w:t>
      </w:r>
    </w:p>
    <w:p w:rsidR="008378DD" w:rsidRPr="008378DD" w:rsidRDefault="008378DD" w:rsidP="008378DD">
      <w:pPr>
        <w:numPr>
          <w:ilvl w:val="2"/>
          <w:numId w:val="16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Potential plenary session for Spring or next Fall 2024 or roundtable discussion: Life after Area E, discussion with counselors</w:t>
      </w:r>
    </w:p>
    <w:p w:rsidR="00A95934" w:rsidRDefault="00A95934" w:rsidP="008378DD">
      <w:pPr>
        <w:numPr>
          <w:ilvl w:val="2"/>
          <w:numId w:val="16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 xml:space="preserve">Potential content for </w:t>
      </w:r>
      <w:bookmarkStart w:id="1" w:name="_GoBack"/>
      <w:bookmarkEnd w:id="1"/>
      <w:r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rostrum article</w:t>
      </w:r>
    </w:p>
    <w:p w:rsidR="008378DD" w:rsidRPr="008378DD" w:rsidRDefault="008378DD" w:rsidP="008378DD">
      <w:pPr>
        <w:numPr>
          <w:ilvl w:val="2"/>
          <w:numId w:val="16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Committee members voted to plan an ASCCC roundtable discussion in April</w:t>
      </w:r>
      <w:r w:rsidR="00A95934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 xml:space="preserve"> if not approved for Spring plenary break out session</w:t>
      </w: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.</w:t>
      </w:r>
    </w:p>
    <w:p w:rsidR="008378DD" w:rsidRPr="008378DD" w:rsidRDefault="008378DD" w:rsidP="008378DD">
      <w:pPr>
        <w:numPr>
          <w:ilvl w:val="2"/>
          <w:numId w:val="16"/>
        </w:numPr>
        <w:spacing w:line="240" w:lineRule="auto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</w:pPr>
      <w:r w:rsidRPr="008378DD">
        <w:rPr>
          <w:rFonts w:ascii="Georgia" w:eastAsia="Times New Roman" w:hAnsi="Georgia" w:cs="Times New Roman"/>
          <w:color w:val="FF0000"/>
          <w:sz w:val="24"/>
          <w:szCs w:val="24"/>
          <w:lang w:val="en-US"/>
        </w:rPr>
        <w:t>Mitra will reach out to ASCCC leadership and check back in with the committee.</w:t>
      </w:r>
    </w:p>
    <w:p w:rsidR="008378DD" w:rsidRPr="008378DD" w:rsidRDefault="008378DD" w:rsidP="008378DD">
      <w:pPr>
        <w:spacing w:line="240" w:lineRule="auto"/>
        <w:ind w:left="21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/>
        </w:rPr>
      </w:pPr>
    </w:p>
    <w:sectPr w:rsidR="008378DD" w:rsidRPr="00837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6C8"/>
    <w:multiLevelType w:val="multilevel"/>
    <w:tmpl w:val="F76E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27AD7"/>
    <w:multiLevelType w:val="multilevel"/>
    <w:tmpl w:val="DE7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B3D4E"/>
    <w:multiLevelType w:val="hybridMultilevel"/>
    <w:tmpl w:val="33B4F4C0"/>
    <w:lvl w:ilvl="0" w:tplc="FB3A9A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ABA9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AB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85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C3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05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5C3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E1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B0237"/>
    <w:multiLevelType w:val="hybridMultilevel"/>
    <w:tmpl w:val="37425C38"/>
    <w:lvl w:ilvl="0" w:tplc="642C69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689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051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25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EC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AD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A6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04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8B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D64A0"/>
    <w:multiLevelType w:val="multilevel"/>
    <w:tmpl w:val="83248718"/>
    <w:lvl w:ilvl="0">
      <w:start w:val="1"/>
      <w:numFmt w:val="upperLetter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2080F"/>
    <w:multiLevelType w:val="multilevel"/>
    <w:tmpl w:val="CBD66D06"/>
    <w:lvl w:ilvl="0">
      <w:numFmt w:val="bullet"/>
      <w:lvlText w:val="-"/>
      <w:lvlJc w:val="left"/>
      <w:pPr>
        <w:ind w:left="108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4A2DFE"/>
    <w:multiLevelType w:val="multilevel"/>
    <w:tmpl w:val="66A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14FFD"/>
    <w:multiLevelType w:val="multilevel"/>
    <w:tmpl w:val="AA4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014D"/>
    <w:multiLevelType w:val="multilevel"/>
    <w:tmpl w:val="1DB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C5F8C"/>
    <w:multiLevelType w:val="multilevel"/>
    <w:tmpl w:val="9F1C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C2891"/>
    <w:multiLevelType w:val="multilevel"/>
    <w:tmpl w:val="FCA0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45752"/>
    <w:multiLevelType w:val="multilevel"/>
    <w:tmpl w:val="7C40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8"/>
    <w:lvlOverride w:ilvl="0">
      <w:lvl w:ilvl="0">
        <w:numFmt w:val="upperLetter"/>
        <w:lvlText w:val="%1."/>
        <w:lvlJc w:val="left"/>
      </w:lvl>
    </w:lvlOverride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"/>
  </w:num>
  <w:num w:numId="16">
    <w:abstractNumId w:val="3"/>
    <w:lvlOverride w:ilvl="1">
      <w:lvl w:ilvl="1" w:tplc="C2689D16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2"/>
    <w:rsid w:val="005404A9"/>
    <w:rsid w:val="006E2E8E"/>
    <w:rsid w:val="008378DD"/>
    <w:rsid w:val="00891B0D"/>
    <w:rsid w:val="00997232"/>
    <w:rsid w:val="00A23378"/>
    <w:rsid w:val="00A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A8F9"/>
  <w15:chartTrackingRefBased/>
  <w15:docId w15:val="{648A200A-E581-4434-B194-6296C2D5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23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972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7232"/>
    <w:rPr>
      <w:rFonts w:ascii="Arial" w:eastAsia="Arial" w:hAnsi="Arial" w:cs="Arial"/>
      <w:i/>
      <w:iCs/>
      <w:color w:val="404040" w:themeColor="text1" w:themeTint="BF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A233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support-mental-health-awareness-and-trauma-informed-teaching-and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BXymFYaxuSzrNCWxD7SFAm77TapYRt7uFuSmbFK5KU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aP2DgsILoQf3q53kRvBoIsw41FqKQnNrVPhmUHHxDg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uYBN1CWFFZFGMrGnKu9hdjyRqzW4Yso0owW7037Mmg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Sapienza</dc:creator>
  <cp:keywords/>
  <dc:description/>
  <cp:lastModifiedBy>Mitra Sapienza</cp:lastModifiedBy>
  <cp:revision>2</cp:revision>
  <dcterms:created xsi:type="dcterms:W3CDTF">2024-02-06T20:14:00Z</dcterms:created>
  <dcterms:modified xsi:type="dcterms:W3CDTF">2024-02-06T23:02:00Z</dcterms:modified>
</cp:coreProperties>
</file>